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0E7C34" w:rsidRPr="00464E09">
        <w:trPr>
          <w:trHeight w:val="1714"/>
          <w:jc w:val="center"/>
        </w:trPr>
        <w:tc>
          <w:tcPr>
            <w:tcW w:w="3319" w:type="dxa"/>
          </w:tcPr>
          <w:p w:rsidR="000E7C34" w:rsidRPr="00464E09" w:rsidRDefault="000E7C34" w:rsidP="00464E09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 xml:space="preserve">МИНИСТЕРСТВО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HA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ru-RU" w:eastAsia="bg-BG"/>
              </w:rPr>
              <w:t xml:space="preserve">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>ЗДРАВЕОПАЗВАНЕТО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86" w:firstLine="391"/>
              <w:jc w:val="right"/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 xml:space="preserve">НАЦИОНАЛЕН ЦЕНТЪР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val="ru-RU" w:eastAsia="bg-BG"/>
              </w:rPr>
              <w:br/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>ПО ЗАРАЗНИ И ПАРАЗИТНИ БОЛЕСТИ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 xml:space="preserve">КОЛАБОРИРАЩ  ЦЕНТЪР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val="en-US" w:eastAsia="bg-BG"/>
              </w:rPr>
              <w:t>HA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val="ru-RU" w:eastAsia="bg-BG"/>
              </w:rPr>
              <w:t xml:space="preserve">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>СЗО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-36" w:firstLine="180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София 1504, Бул. Янко </w:t>
            </w:r>
            <w:proofErr w:type="spellStart"/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>Сакъзов</w:t>
            </w:r>
            <w:proofErr w:type="spellEnd"/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 26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ДИРЕКТОР: 02/ 944 28 75;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director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@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ncipd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.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org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ЦЕНТРАЛА: 02/ 944 69 99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ФАКС: 02/ 943 30 75</w:t>
            </w:r>
          </w:p>
        </w:tc>
        <w:tc>
          <w:tcPr>
            <w:tcW w:w="1973" w:type="dxa"/>
          </w:tcPr>
          <w:p w:rsidR="000E7C34" w:rsidRPr="00464E09" w:rsidRDefault="00DB096B" w:rsidP="00464E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/>
              </w:rPr>
            </w:pPr>
            <w:r>
              <w:rPr>
                <w:noProof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-2.45pt;margin-top:102pt;width:92.05pt;height:0;z-index:1;visibility:visible;mso-position-horizontal-relative:text;mso-position-vertical-relative:text" strokecolor="#485196" strokeweight="3.5pt">
                  <v:shadow color="#243f60" opacity=".5" offset="1pt"/>
                </v:shape>
              </w:pict>
            </w:r>
            <w:r>
              <w:rPr>
                <w:rFonts w:ascii="Times New Roman" w:hAnsi="Times New Roman" w:cs="Times New Roman"/>
                <w:noProof/>
                <w:color w:val="485196"/>
                <w:sz w:val="24"/>
                <w:szCs w:val="24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bust" style="width:63pt;height:102pt;visibility:visible">
                  <v:imagedata r:id="rId8" o:title=""/>
                </v:shape>
              </w:pict>
            </w:r>
          </w:p>
          <w:p w:rsidR="000E7C34" w:rsidRPr="00464E09" w:rsidRDefault="000E7C34" w:rsidP="00464E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/>
              </w:rPr>
            </w:pPr>
          </w:p>
          <w:p w:rsidR="000E7C34" w:rsidRPr="00464E09" w:rsidRDefault="000E7C34" w:rsidP="00464E09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O</w:t>
            </w:r>
            <w:r w:rsidRPr="00464E09">
              <w:rPr>
                <w:rFonts w:ascii="Times New Roman" w:hAnsi="Times New Roman" w:cs="Times New Roman"/>
                <w:color w:val="FFFFFF"/>
                <w:sz w:val="24"/>
                <w:szCs w:val="24"/>
                <w:lang w:val="ru-RU" w:eastAsia="bg-BG"/>
              </w:rPr>
              <w:t xml:space="preserve">снован 1881 </w:t>
            </w:r>
            <w:r w:rsidRPr="00464E09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Founded</w:t>
            </w:r>
          </w:p>
          <w:p w:rsidR="000E7C34" w:rsidRPr="00464E09" w:rsidRDefault="00DB096B" w:rsidP="0046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85196"/>
                <w:sz w:val="24"/>
                <w:szCs w:val="24"/>
                <w:lang w:val="ru-RU" w:eastAsia="bg-BG"/>
              </w:rPr>
            </w:pPr>
            <w:hyperlink r:id="rId9" w:history="1">
              <w:r w:rsidR="000E7C34" w:rsidRPr="00464E09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="000E7C34" w:rsidRPr="00464E09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0E7C34" w:rsidRPr="00464E09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ncipd</w:t>
              </w:r>
              <w:r w:rsidR="000E7C34" w:rsidRPr="00464E09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0E7C34" w:rsidRPr="00464E09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MINISTRY OF HEALTH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spacing w:val="-6"/>
                <w:w w:val="90"/>
                <w:sz w:val="24"/>
                <w:szCs w:val="24"/>
                <w:lang w:val="en-US" w:eastAsia="bg-BG"/>
              </w:rPr>
              <w:t>NATIONAL CENTRE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t xml:space="preserve"> 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br/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pacing w:val="-7"/>
                <w:w w:val="90"/>
                <w:sz w:val="24"/>
                <w:szCs w:val="24"/>
                <w:lang w:val="en-US" w:eastAsia="bg-BG"/>
              </w:rPr>
              <w:t>OF INFECTIOUS AND PARASITIC DISEASES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spacing w:val="-13"/>
                <w:sz w:val="24"/>
                <w:szCs w:val="24"/>
                <w:lang w:val="it-IT" w:eastAsia="bg-BG"/>
              </w:rPr>
              <w:t>WHO COLLABORATING CENTRE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BULGARIA,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1504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Sofia,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26 </w:t>
            </w:r>
            <w:r w:rsidRPr="00464E09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>Yanko Sakazov Blvd.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</w:pPr>
            <w:r w:rsidRPr="00464E09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val="en-US" w:eastAsia="bg-BG"/>
              </w:rPr>
              <w:t xml:space="preserve">DIRECTOR: </w:t>
            </w:r>
            <w:r w:rsidRPr="00464E09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eastAsia="bg-BG"/>
              </w:rPr>
              <w:t xml:space="preserve">+359 2 944 28 75; </w:t>
            </w:r>
            <w:hyperlink r:id="rId10" w:history="1">
              <w:r w:rsidRPr="00464E09">
                <w:rPr>
                  <w:rFonts w:ascii="Times New Roman" w:hAnsi="Times New Roman" w:cs="Times New Roman"/>
                  <w:color w:val="485196"/>
                  <w:sz w:val="24"/>
                  <w:szCs w:val="24"/>
                  <w:u w:val="single"/>
                  <w:lang w:val="en-US" w:eastAsia="bg-BG"/>
                </w:rPr>
                <w:t>director@ncipd.org</w:t>
              </w:r>
            </w:hyperlink>
          </w:p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</w:pPr>
            <w:r w:rsidRPr="00464E09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  <w:t xml:space="preserve">TELEPHONE EXCHANGE: </w:t>
            </w:r>
            <w:r w:rsidRPr="00464E09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eastAsia="bg-BG"/>
              </w:rPr>
              <w:t xml:space="preserve">+359 2 944 69 99 </w:t>
            </w:r>
          </w:p>
          <w:p w:rsidR="000E7C34" w:rsidRPr="00464E09" w:rsidRDefault="000E7C34" w:rsidP="0046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t xml:space="preserve">FAX: </w:t>
            </w:r>
            <w:r w:rsidRPr="00464E09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+359 2 943 30 75</w:t>
            </w:r>
          </w:p>
          <w:p w:rsidR="000E7C34" w:rsidRPr="00464E09" w:rsidRDefault="000E7C34" w:rsidP="00464E0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85196"/>
                <w:sz w:val="24"/>
                <w:szCs w:val="24"/>
              </w:rPr>
            </w:pPr>
          </w:p>
        </w:tc>
      </w:tr>
    </w:tbl>
    <w:p w:rsidR="000E7C34" w:rsidRPr="00464E09" w:rsidRDefault="000E7C34" w:rsidP="00464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C34" w:rsidRPr="00464E09" w:rsidRDefault="000E7C34" w:rsidP="000C123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Р Е Ш Е Н И Е</w:t>
      </w:r>
    </w:p>
    <w:p w:rsidR="000E7C34" w:rsidRPr="000C1234" w:rsidRDefault="000E7C34" w:rsidP="000C123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234">
        <w:rPr>
          <w:rFonts w:ascii="Times New Roman" w:hAnsi="Times New Roman" w:cs="Times New Roman"/>
          <w:sz w:val="24"/>
          <w:szCs w:val="24"/>
        </w:rPr>
        <w:t xml:space="preserve">№ </w:t>
      </w:r>
      <w:r w:rsidR="00E069BE" w:rsidRPr="000C123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C1234">
        <w:rPr>
          <w:rFonts w:ascii="Times New Roman" w:hAnsi="Times New Roman" w:cs="Times New Roman"/>
          <w:sz w:val="24"/>
          <w:szCs w:val="24"/>
        </w:rPr>
        <w:t>/</w:t>
      </w:r>
      <w:r w:rsidRPr="000C12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83EAC" w:rsidRPr="000C123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C1234">
        <w:rPr>
          <w:rFonts w:ascii="Times New Roman" w:hAnsi="Times New Roman" w:cs="Times New Roman"/>
          <w:sz w:val="24"/>
          <w:szCs w:val="24"/>
        </w:rPr>
        <w:t>.0</w:t>
      </w:r>
      <w:r w:rsidR="00083EAC" w:rsidRPr="000C123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C1234">
        <w:rPr>
          <w:rFonts w:ascii="Times New Roman" w:hAnsi="Times New Roman" w:cs="Times New Roman"/>
          <w:sz w:val="24"/>
          <w:szCs w:val="24"/>
        </w:rPr>
        <w:t>.201</w:t>
      </w:r>
      <w:r w:rsidRPr="000C1234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0C1234">
        <w:rPr>
          <w:rFonts w:ascii="Times New Roman" w:hAnsi="Times New Roman" w:cs="Times New Roman"/>
          <w:sz w:val="24"/>
          <w:szCs w:val="24"/>
        </w:rPr>
        <w:t>г.</w:t>
      </w:r>
    </w:p>
    <w:p w:rsidR="000E7C34" w:rsidRPr="000C1234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1234">
        <w:rPr>
          <w:rFonts w:ascii="Times New Roman" w:hAnsi="Times New Roman" w:cs="Times New Roman"/>
          <w:sz w:val="24"/>
          <w:szCs w:val="24"/>
          <w:lang w:eastAsia="bg-BG"/>
        </w:rPr>
        <w:t xml:space="preserve">за класиране на участниците и обявяване на изпълнител на обществена поръчка с предмет: „Доставка на диагностични тестове, китове и реактиви  за лабораторна диагностика и изследвания на вектори и гризачи през 2017 г. по Национална програма за профилактика и контрол на векторно-предавани </w:t>
      </w:r>
      <w:proofErr w:type="spellStart"/>
      <w:r w:rsidRPr="000C1234">
        <w:rPr>
          <w:rFonts w:ascii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Pr="000C1234">
        <w:rPr>
          <w:rFonts w:ascii="Times New Roman" w:hAnsi="Times New Roman" w:cs="Times New Roman"/>
          <w:sz w:val="24"/>
          <w:szCs w:val="24"/>
          <w:lang w:eastAsia="bg-BG"/>
        </w:rPr>
        <w:t xml:space="preserve"> инфекции при хората в Р България”, открита с Решение № 2 / 14.06.2017 г. на Директора на Националния център по заразни и паразитни болести, обявена в Регистъра на обществените поръчки с уникален № 01785-2017-0002.</w:t>
      </w:r>
    </w:p>
    <w:p w:rsidR="000E7C34" w:rsidRPr="00464E09" w:rsidRDefault="000E7C34" w:rsidP="00464E09">
      <w:pPr>
        <w:pStyle w:val="BodyTextIndent"/>
        <w:tabs>
          <w:tab w:val="left" w:pos="426"/>
          <w:tab w:val="left" w:pos="1134"/>
        </w:tabs>
        <w:ind w:right="191" w:firstLine="0"/>
        <w:rPr>
          <w:color w:val="000000"/>
        </w:rPr>
      </w:pPr>
      <w:r w:rsidRPr="000C1234">
        <w:tab/>
        <w:t xml:space="preserve">На основание чл. </w:t>
      </w:r>
      <w:r w:rsidRPr="000C1234">
        <w:rPr>
          <w:lang w:val="ru-RU"/>
        </w:rPr>
        <w:t>108</w:t>
      </w:r>
      <w:r w:rsidRPr="000C1234">
        <w:t>, т. 1 и чл. 110, ал.1, т. 1</w:t>
      </w:r>
      <w:r w:rsidR="003F2B94" w:rsidRPr="000C1234">
        <w:t xml:space="preserve"> </w:t>
      </w:r>
      <w:r w:rsidRPr="000C1234">
        <w:t>от ЗОП и отразени резултати в протоколи:  Протокол № 1,</w:t>
      </w:r>
      <w:r w:rsidRPr="000C1234">
        <w:rPr>
          <w:lang w:val="ru-RU"/>
        </w:rPr>
        <w:t xml:space="preserve"> </w:t>
      </w:r>
      <w:r w:rsidRPr="000C1234">
        <w:t>Протокол № 1а, Протокол № 2, Протокол № 3 с Приложение № 1, Протокол № 3а и доклад от 2</w:t>
      </w:r>
      <w:r w:rsidR="003F2B94" w:rsidRPr="000C1234">
        <w:rPr>
          <w:lang w:val="ru-RU"/>
        </w:rPr>
        <w:t>8</w:t>
      </w:r>
      <w:r w:rsidRPr="000C1234">
        <w:t>.0</w:t>
      </w:r>
      <w:r w:rsidR="003F2B94" w:rsidRPr="000C1234">
        <w:t>8</w:t>
      </w:r>
      <w:r w:rsidRPr="000C1234">
        <w:t>.2017 г. на  комисията</w:t>
      </w:r>
      <w:r w:rsidRPr="00464E09">
        <w:t xml:space="preserve">, назначена със </w:t>
      </w:r>
      <w:r w:rsidRPr="00464E09">
        <w:rPr>
          <w:color w:val="000000"/>
          <w:spacing w:val="-8"/>
        </w:rPr>
        <w:t xml:space="preserve">Заповед № </w:t>
      </w:r>
      <w:r w:rsidRPr="00464E09">
        <w:rPr>
          <w:color w:val="000000"/>
          <w:spacing w:val="-8"/>
          <w:lang w:val="ru-RU"/>
        </w:rPr>
        <w:t xml:space="preserve">272 </w:t>
      </w:r>
      <w:r w:rsidRPr="00464E09">
        <w:rPr>
          <w:color w:val="000000"/>
          <w:spacing w:val="-8"/>
        </w:rPr>
        <w:t xml:space="preserve">/ </w:t>
      </w:r>
      <w:r w:rsidRPr="00464E09">
        <w:rPr>
          <w:color w:val="000000"/>
          <w:spacing w:val="-8"/>
          <w:lang w:val="ru-RU"/>
        </w:rPr>
        <w:t>20</w:t>
      </w:r>
      <w:r w:rsidRPr="00464E09">
        <w:rPr>
          <w:color w:val="000000"/>
          <w:spacing w:val="-8"/>
        </w:rPr>
        <w:t>.0</w:t>
      </w:r>
      <w:r w:rsidRPr="00464E09">
        <w:rPr>
          <w:color w:val="000000"/>
          <w:spacing w:val="-8"/>
          <w:lang w:val="ru-RU"/>
        </w:rPr>
        <w:t>7</w:t>
      </w:r>
      <w:r w:rsidRPr="00464E09">
        <w:rPr>
          <w:color w:val="000000"/>
          <w:spacing w:val="-8"/>
        </w:rPr>
        <w:t>.201</w:t>
      </w:r>
      <w:r w:rsidRPr="00464E09">
        <w:rPr>
          <w:color w:val="000000"/>
          <w:spacing w:val="-8"/>
          <w:lang w:val="ru-RU"/>
        </w:rPr>
        <w:t>7</w:t>
      </w:r>
      <w:r w:rsidRPr="00464E09">
        <w:rPr>
          <w:color w:val="000000"/>
          <w:spacing w:val="-8"/>
        </w:rPr>
        <w:t xml:space="preserve"> г. на </w:t>
      </w:r>
      <w:r w:rsidRPr="00464E09">
        <w:rPr>
          <w:color w:val="000000"/>
          <w:spacing w:val="-9"/>
        </w:rPr>
        <w:t xml:space="preserve">директора на НЦЗПБ за провеждане на открита процедура по ЗОП с </w:t>
      </w:r>
      <w:proofErr w:type="spellStart"/>
      <w:r w:rsidRPr="00464E09">
        <w:rPr>
          <w:color w:val="000000"/>
          <w:spacing w:val="-9"/>
        </w:rPr>
        <w:t>горецитирания</w:t>
      </w:r>
      <w:proofErr w:type="spellEnd"/>
      <w:r w:rsidRPr="00464E09">
        <w:rPr>
          <w:color w:val="000000"/>
          <w:spacing w:val="-9"/>
        </w:rPr>
        <w:t xml:space="preserve"> предмет, взех следните решения: </w:t>
      </w:r>
    </w:p>
    <w:p w:rsidR="000E7C34" w:rsidRPr="00464E09" w:rsidRDefault="000E7C34" w:rsidP="00464E0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</w:p>
    <w:p w:rsidR="000E7C34" w:rsidRDefault="000E7C34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. Обявявам класирането на участниците по критерий „най-ниска</w:t>
      </w:r>
      <w:proofErr w:type="gramStart"/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“ предложена</w:t>
      </w:r>
      <w:proofErr w:type="gramEnd"/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цена, както следва:</w:t>
      </w:r>
    </w:p>
    <w:p w:rsidR="000E7C34" w:rsidRPr="00464E09" w:rsidRDefault="000E7C34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1. По обособена позиция № 1.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55248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2. По обособена позиция № 2.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Ай Ви Ди България ООД с предлагана цена в размер на 2779.76 лева без вкл. ДДС.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3. По обособена позиция № 3.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3016.32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>4. По обособена позиция № 4.</w:t>
      </w:r>
      <w:r w:rsidRPr="00464E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2448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>5. По обособена позиция № 6.</w:t>
      </w:r>
      <w:r w:rsidRPr="00464E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1760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6. По обособена позиция № 7.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lastRenderedPageBreak/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1276.8 лева без вкл. ДДС.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7. По обособена позиция № 8.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6500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>8. По обособена позиция № 9</w:t>
      </w:r>
      <w:r w:rsidRPr="00464E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Ай Ви Ди България ООД с предлагана цена в размер на 2633.98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2873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9. По обособена позиция № 12.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АА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Медикъл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2880 лева без вкл. ДДС..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10. По обособена позиция № 13.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8448 лева без вкл. ДДС.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11. По обособена позиция № 14.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АА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Медикъл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4050 лева без вкл. ДДС.</w:t>
      </w:r>
    </w:p>
    <w:p w:rsidR="000E7C34" w:rsidRPr="00464E09" w:rsidRDefault="000E7C34" w:rsidP="00464E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По обособена позиция № 15.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1440 лева без вкл. ДДС.</w:t>
      </w:r>
    </w:p>
    <w:p w:rsidR="000E7C34" w:rsidRPr="00464E09" w:rsidRDefault="000E7C34" w:rsidP="00464E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По обособена позиция № 16.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Елта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90 М ООД с предлагана цена в размер на 1843.2 лева без вкл. ДДС; 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3555.84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трето място - Ай Ви Ди България ООД с предлагана цена в размер на 3640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четвърто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4577.28 лева без вкл. ДДС.</w:t>
      </w:r>
    </w:p>
    <w:p w:rsidR="000E7C34" w:rsidRPr="00464E09" w:rsidRDefault="000E7C34" w:rsidP="00464E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>По обособена позиция № 17.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Ай Ви Ди България ООД с предлагана цена в размер на 600 лева без вкл. ДДС.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15. По обособена позиция № 18.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Ес Джи Пи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Дайнамикс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ООД с предлагана цена в размер на 13180.8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16. По обособена позиция № 19.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645.12 лева без вкл. ДДС.</w:t>
      </w:r>
    </w:p>
    <w:p w:rsidR="000E7C34" w:rsidRPr="00464E09" w:rsidRDefault="000E7C34" w:rsidP="00464E09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По обособена позиция № 20.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Ес Джи Пи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Дайнамикс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ООД с предлагана цена в размер на 11331.84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12300 лева без вкл. ДДС.</w:t>
      </w:r>
    </w:p>
    <w:p w:rsidR="000E7C34" w:rsidRPr="00464E09" w:rsidRDefault="000E7C34" w:rsidP="00464E09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По обособена позиция № 21.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Ай Ви Ди България ООД с предлагана цена в размер на 3675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4455 лева без вкл. ДДС.</w:t>
      </w:r>
    </w:p>
    <w:p w:rsidR="000E7C34" w:rsidRPr="00464E09" w:rsidRDefault="000E7C34" w:rsidP="00464E09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По обособена позиция № 22.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Ай Ви Ди България ООД с предлагана цена в размер на 1800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1875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lastRenderedPageBreak/>
        <w:t xml:space="preserve">На трето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2800 лева без вкл. ДДС.</w:t>
      </w:r>
    </w:p>
    <w:p w:rsidR="000E7C34" w:rsidRPr="00464E09" w:rsidRDefault="000E7C34" w:rsidP="00464E09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По обособена позиция № 23.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ФОТ ООД с предлагана цена в размер на 260 лева без вкл. ДДС; 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298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трето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371.48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21. По обособена позиция № 24.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780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22. По обособена позиция № 25.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ФОТ ООД с предлагана цена в размер на 290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350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23. По обособена позиция № 26.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Ес Джи Пи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Дайнамикс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ООД с предлагана цена в размер на 119.51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400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трето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636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четвърто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752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пето място - ФОТ ООД с предлагана цена в размер на 820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B94">
        <w:rPr>
          <w:rFonts w:ascii="Times New Roman" w:hAnsi="Times New Roman" w:cs="Times New Roman"/>
          <w:b/>
          <w:bCs/>
          <w:sz w:val="24"/>
          <w:szCs w:val="24"/>
        </w:rPr>
        <w:t>24. По обособена позиция № 27.</w:t>
      </w: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и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40 лева без вкл. ДДС;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76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трето място - ФОТ ООД с предлагана цена в размер на 190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25. По обособена позиция № 28.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960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Ес Джи Пи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Дайнамикс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ООД с предлагана цена в размер на 986.04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трето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1200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четвърто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2400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26. По обособена позиция № 29.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ФОТ ООД с предлагана цена в размер на 588.8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600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27. По обособена позиция № 30.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198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28. По обособена позиция № 33.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130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29. По обособена позиция № 34.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665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30. По обособена позиция № 35.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ФОТ ООД с предлагана цена в размер на 515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598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трето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660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четвърто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684.5 лева без вкл. ДДС.</w:t>
      </w:r>
    </w:p>
    <w:p w:rsidR="000E7C34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31. По обособена позиция № 36.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100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338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32. По обособена позиция № 37.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17694.15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33. По обособена позиция № 38.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3870 лева без вкл. ДДС; На второ място - ФОТ ООД с предлагана цена в размер на 4237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трето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Ридаком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5210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34. По обособена позиция № 39.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140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35. По обособена позиция № 40.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ФОТ ООД с предлагана цена в размер на 346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760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36. По обособена позиция № 42.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1566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37. По обособена позиция № 43.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5421.83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ФОТ ООД с предлагана цена в размер на 8341.5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трето място - „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Лабимекс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>” АД с предлагана цена в размер на 13005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38. По обособена позиция № 44.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„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Савимед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>” ЕООД с предлагана цена в размер на 4638.4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39. По обособена позиция № 45.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3446.6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40. По обособена позиция № 47.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ЕООД с предлагана цена в размер на 310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41. По обособена позиция № 48.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200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42. По обособена позиция № 49.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Аквахим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АД с предлагана цена в размер на 594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43. По обособена позиция № 50.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1959.5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44. По обособена позиция № 51.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110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45. По обособена позиция № 53.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2550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46. По обособена позиция № 54.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първо място - ФОТ ООД с предлагана цена в размер на 1340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47. По обособена позиция № 55.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ФОТ ООД с предлагана цена в размер на 285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>На второ място - „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Савимед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>” ЕООД с предлагана цена в размер на 342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48. По обособена позиция № 57.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Ес Джи Пи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Дайнамикс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ООД с предлагана цена в размер на 55.08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ФОТ ООД с предлагана цена в размер на 61.2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трето място -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Антисел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България ООД с предлагана цена в размер на 63.24 лева без вкл. ДДС.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49. По обособена позиция № 58. 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първо място - ФОТ ООД с предлагана цена в размер на 3272 лева без вкл. ДДС;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09">
        <w:rPr>
          <w:rFonts w:ascii="Times New Roman" w:hAnsi="Times New Roman" w:cs="Times New Roman"/>
          <w:sz w:val="24"/>
          <w:szCs w:val="24"/>
        </w:rPr>
        <w:t xml:space="preserve">На второ място - Ес Джи Пи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9">
        <w:rPr>
          <w:rFonts w:ascii="Times New Roman" w:hAnsi="Times New Roman" w:cs="Times New Roman"/>
          <w:sz w:val="24"/>
          <w:szCs w:val="24"/>
        </w:rPr>
        <w:t>Дайнамикс</w:t>
      </w:r>
      <w:proofErr w:type="spellEnd"/>
      <w:r w:rsidRPr="00464E09">
        <w:rPr>
          <w:rFonts w:ascii="Times New Roman" w:hAnsi="Times New Roman" w:cs="Times New Roman"/>
          <w:sz w:val="24"/>
          <w:szCs w:val="24"/>
        </w:rPr>
        <w:t xml:space="preserve"> ООД с предлагана цена в размер на 4964.73 лева без вкл. ДДС.</w:t>
      </w:r>
    </w:p>
    <w:p w:rsidR="000E7C34" w:rsidRPr="00464E09" w:rsidRDefault="000E7C34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7C34" w:rsidRPr="00464E09" w:rsidRDefault="000E7C34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II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. ОПРЕДЕЛЯМ за изпълнители по обособени позиции участниците, класираните на първо място по критерий „най-ниска цена“</w:t>
      </w:r>
      <w:r w:rsidR="00E7541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,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както следва:</w:t>
      </w:r>
    </w:p>
    <w:p w:rsidR="000E7C34" w:rsidRPr="00464E09" w:rsidRDefault="000E7C34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1 -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Елта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90М“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 </w:t>
      </w:r>
    </w:p>
    <w:p w:rsidR="000E7C34" w:rsidRDefault="000E7C34" w:rsidP="00DA6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2. По обособена позиция № 2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„Ай Ви Ди България“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</w:p>
    <w:p w:rsidR="000E7C34" w:rsidRPr="00464E09" w:rsidRDefault="000E7C34" w:rsidP="00DA6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3. По обособена позиция № 3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Елта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90М“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Данс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Фарма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ЕООД</w:t>
      </w:r>
    </w:p>
    <w:p w:rsidR="000E7C34" w:rsidRPr="00464E09" w:rsidRDefault="000E7C34" w:rsidP="00DA6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6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Елта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90М“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6.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7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Елта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90М“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7.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8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Елта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90М“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8.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9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„Ай Ви Ди България“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9.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2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- „АА 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Медикъл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България“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10.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13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Данс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Фарма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ЕООД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11.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4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- „АА 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Медикъл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България“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12.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5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Елта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90М“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13.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16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-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Елта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90М“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14.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17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„Ай Ви Ди България“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15.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18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ЕсДжиПи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Биодайнамикс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16.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19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Ридаком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“ ЕООД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17.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0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ЕсДжиПи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Биодайнамикс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18.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1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„Ай Ви Ди България“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19.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2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„Ай Ви Ди България“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20.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3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21.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4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Аквахим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АД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22.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5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23.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26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ЕсДжиПи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Биодайнамикс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24.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27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0140A0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0140A0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Аквахим</w:t>
      </w:r>
      <w:proofErr w:type="spellEnd"/>
      <w:r w:rsidRPr="000140A0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АД</w:t>
      </w:r>
      <w:r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основание чл. 58, ал. 3 от ППЗОП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25.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28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Аквахим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АД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26.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29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27.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0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Аквахим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АД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28.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33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29.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34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- „ФОТ“ ООД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30.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5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31.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36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Антисел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България“ ООД</w:t>
      </w: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32.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37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Аквахим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АД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33. По обособена позиция №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38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Данс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Фарма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ЕООД</w:t>
      </w:r>
    </w:p>
    <w:p w:rsidR="000E7C34" w:rsidRPr="00464E09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34.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39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 „ФОТ“ ООД</w:t>
      </w:r>
    </w:p>
    <w:p w:rsidR="000E7C34" w:rsidRPr="00464E09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35.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0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36.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2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37.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3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Данс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Фарма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ЕООД</w:t>
      </w: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38.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4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:lang w:eastAsia="bg-BG"/>
        </w:rPr>
        <w:t>Савимед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ЕООД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39.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45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40.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47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Данс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Фарма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</w:t>
      </w:r>
      <w:r w:rsidRPr="00464E09">
        <w:rPr>
          <w:rFonts w:ascii="Times New Roman" w:hAnsi="Times New Roman" w:cs="Times New Roman"/>
          <w:sz w:val="24"/>
          <w:szCs w:val="24"/>
          <w:lang w:eastAsia="bg-BG"/>
        </w:rPr>
        <w:t xml:space="preserve"> ЕООД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41.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48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42.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49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Аквахим</w:t>
      </w:r>
      <w:proofErr w:type="spellEnd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“ АД</w:t>
      </w: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0E7C34" w:rsidRPr="00464E09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43.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5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0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44.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51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45.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53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46.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54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BE7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47.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55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48.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озиция № 57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ЕсДжиПи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Биодайнамикс</w:t>
      </w:r>
      <w:proofErr w:type="spellEnd"/>
      <w:r w:rsidRPr="00464E0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“ ООД</w:t>
      </w:r>
    </w:p>
    <w:p w:rsidR="000E7C34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49.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58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- „ФОТ“ ООД</w:t>
      </w:r>
    </w:p>
    <w:p w:rsidR="000E7C34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0E7C34" w:rsidRPr="00E069BE" w:rsidRDefault="000E7C34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ОТСТРАНЕНИ УЧАСТНИЦИ:</w:t>
      </w:r>
    </w:p>
    <w:p w:rsid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 w:eastAsia="bg-BG"/>
        </w:rPr>
      </w:pPr>
    </w:p>
    <w:p w:rsid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1. „</w:t>
      </w:r>
      <w:proofErr w:type="spellStart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Ес</w:t>
      </w:r>
      <w:proofErr w:type="spellEnd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Джи</w:t>
      </w:r>
      <w:proofErr w:type="spellEnd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Пи</w:t>
      </w:r>
      <w:proofErr w:type="spellEnd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Био</w:t>
      </w:r>
      <w:proofErr w:type="spellEnd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Дайнамикс</w:t>
      </w:r>
      <w:proofErr w:type="spellEnd"/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” ООД</w:t>
      </w:r>
    </w:p>
    <w:p w:rsidR="00E069BE" w:rsidRPr="00E069BE" w:rsidRDefault="00E069BE" w:rsidP="00E0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E069BE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E069BE">
        <w:rPr>
          <w:rFonts w:ascii="Times New Roman" w:hAnsi="Times New Roman" w:cs="Times New Roman"/>
          <w:sz w:val="24"/>
          <w:szCs w:val="24"/>
        </w:rPr>
        <w:t xml:space="preserve">а основание чл.107, т.2, б“а“ от ЗОП </w:t>
      </w:r>
      <w:r w:rsidRPr="00E069BE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„</w:t>
      </w:r>
      <w:proofErr w:type="spellStart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Ес</w:t>
      </w:r>
      <w:proofErr w:type="spellEnd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Джи</w:t>
      </w:r>
      <w:proofErr w:type="spellEnd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Пи</w:t>
      </w:r>
      <w:proofErr w:type="spellEnd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Био</w:t>
      </w:r>
      <w:proofErr w:type="spellEnd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Дайнамикс</w:t>
      </w:r>
      <w:proofErr w:type="spellEnd"/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” ООД</w:t>
      </w:r>
      <w:r w:rsidRPr="00E069BE">
        <w:rPr>
          <w:rFonts w:ascii="Times New Roman" w:hAnsi="Times New Roman" w:cs="Times New Roman"/>
          <w:sz w:val="24"/>
          <w:szCs w:val="24"/>
          <w:lang w:eastAsia="bg-BG"/>
        </w:rPr>
        <w:t xml:space="preserve"> по обособени позиции </w:t>
      </w:r>
      <w:r>
        <w:rPr>
          <w:rFonts w:ascii="Times New Roman" w:hAnsi="Times New Roman" w:cs="Times New Roman"/>
          <w:sz w:val="24"/>
          <w:szCs w:val="24"/>
          <w:lang w:eastAsia="bg-BG"/>
        </w:rPr>
        <w:t>17; 24 и 25</w:t>
      </w:r>
      <w:r w:rsidRPr="00E069BE">
        <w:rPr>
          <w:rFonts w:ascii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E069BE" w:rsidRP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17 - </w:t>
      </w: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>представената от участника оферта не отговаря на изискването на възложителя наборът за изолиране на ДНК от насекоми да съдържа епруветки с перли за разрушаване на телата на насекомите. От представената от участника извадка от каталог е видно, че наборът не съдържа перли.</w:t>
      </w:r>
    </w:p>
    <w:p w:rsid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24 - </w:t>
      </w: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 представените от участника оферта липсва информация дали </w:t>
      </w:r>
      <w:proofErr w:type="spellStart"/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>Протеиназа</w:t>
      </w:r>
      <w:proofErr w:type="spellEnd"/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 е с молекулното тегло 18 </w:t>
      </w:r>
      <w:proofErr w:type="spellStart"/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>kDа</w:t>
      </w:r>
      <w:proofErr w:type="spellEnd"/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>., поради което не става ясно дали продуктът отговаря на изискванията, заложени от възложителя.</w:t>
      </w:r>
    </w:p>
    <w:p w:rsid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25 - </w:t>
      </w: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>представената от участника оферта не отговаря на изискването на възложителя за молекулен ДНК маркер 100-1000bp. От представената извадка от каталог е видно, че се оферира молекулен ДНК маркер 100-10 000bp.</w:t>
      </w:r>
    </w:p>
    <w:p w:rsid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eastAsia="bg-BG"/>
        </w:rPr>
      </w:pPr>
    </w:p>
    <w:p w:rsid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„</w:t>
      </w:r>
      <w:proofErr w:type="spellStart"/>
      <w:r w:rsidRPr="00E069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Аквахим</w:t>
      </w:r>
      <w:proofErr w:type="spellEnd"/>
      <w:r w:rsidRPr="00E069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” АД</w:t>
      </w:r>
    </w:p>
    <w:p w:rsidR="00E069BE" w:rsidRPr="00E069BE" w:rsidRDefault="00E069BE" w:rsidP="00E0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E069BE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E069BE">
        <w:rPr>
          <w:rFonts w:ascii="Times New Roman" w:hAnsi="Times New Roman" w:cs="Times New Roman"/>
          <w:sz w:val="24"/>
          <w:szCs w:val="24"/>
        </w:rPr>
        <w:t xml:space="preserve">а основание чл.107, т.2, б“а“ от ЗОП </w:t>
      </w:r>
      <w:r w:rsidRPr="00E069BE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Pr="00E069B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Аквахим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</w:t>
      </w:r>
      <w:r w:rsidRPr="00E069BE">
        <w:rPr>
          <w:rFonts w:ascii="Times New Roman" w:hAnsi="Times New Roman" w:cs="Times New Roman"/>
          <w:bCs/>
          <w:sz w:val="24"/>
          <w:szCs w:val="24"/>
          <w:lang w:val="en-US" w:eastAsia="bg-BG"/>
        </w:rPr>
        <w:t>Д</w:t>
      </w:r>
      <w:r w:rsidR="00EF1C0E">
        <w:rPr>
          <w:rFonts w:ascii="Times New Roman" w:hAnsi="Times New Roman" w:cs="Times New Roman"/>
          <w:sz w:val="24"/>
          <w:szCs w:val="24"/>
          <w:lang w:eastAsia="bg-BG"/>
        </w:rPr>
        <w:t xml:space="preserve"> по обособена</w:t>
      </w:r>
      <w:r w:rsidRPr="00E069B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позиция</w:t>
      </w:r>
      <w:r w:rsidRPr="00E069B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34</w:t>
      </w:r>
      <w:r w:rsidRPr="00E069BE">
        <w:rPr>
          <w:rFonts w:ascii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E069B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По обособена позиция 34 -</w:t>
      </w:r>
      <w:r w:rsidRPr="00EF1C0E">
        <w:t xml:space="preserve"> </w:t>
      </w:r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 представеното от участника разяснение е видно, че оферираният флуоресцентния реагент за визуализиране на ДНК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бандове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агарозни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полиакриламидни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гелове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не съдържа UV компонент.</w:t>
      </w:r>
    </w:p>
    <w:p w:rsidR="00E069BE" w:rsidRDefault="00E069B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eastAsia="bg-BG"/>
        </w:rPr>
      </w:pPr>
    </w:p>
    <w:p w:rsidR="00E069B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F1C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„</w:t>
      </w:r>
      <w:proofErr w:type="spellStart"/>
      <w:r w:rsidRPr="00EF1C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Данс</w:t>
      </w:r>
      <w:proofErr w:type="spellEnd"/>
      <w:r w:rsidRPr="00EF1C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EF1C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Фарма</w:t>
      </w:r>
      <w:proofErr w:type="spellEnd"/>
      <w:r w:rsidRPr="00EF1C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 ЕООД</w:t>
      </w:r>
    </w:p>
    <w:p w:rsidR="00EF1C0E" w:rsidRPr="00EF1C0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F1C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3.1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и имайки предвид заложеното от Възложителя изискване към участник в процедурата, който кандидатства за обособени позиции с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да представи оферта за всички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подпозициии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обособената позиция, комисията предлага за отстраняване от процедурата участника „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Данс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Фарма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” ЕООД по позиции 12; 14 и 44</w:t>
      </w:r>
      <w:r w:rsid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със следните мотиви:</w:t>
      </w:r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EF1C0E" w:rsidRPr="00EF1C0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12 - </w:t>
      </w:r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имунохроматографският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бърз тест за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висцерална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лайшманиоза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да се изпълнява с периферна или венозна кръв. От представената от участника извадка от каталог е видно, че оферираният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имунохроматографският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тест за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висцерална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лайшманиоза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не се изпълнява с периферна или венозна кръв.</w:t>
      </w:r>
    </w:p>
    <w:p w:rsidR="00EF1C0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14 - </w:t>
      </w:r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представената от участника оферта не отговаря на </w:t>
      </w:r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изискването на възложителя тестът за малария  да е с чувствителност 98% и резултатите да стават известни до 20 минути.  От представената от участника извадка от каталог е видно, че тестът за P.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falciparum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е с чувствителност 92,6 %, а тестът за  „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Pan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”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Malaria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– с чувствителност 95 %.</w:t>
      </w:r>
    </w:p>
    <w:p w:rsidR="00EF1C0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По обособена позиция 44</w:t>
      </w:r>
    </w:p>
    <w:p w:rsidR="00EF1C0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44.11 - представената от участника оферта не отговаря на изискването на възложителя връхчетата за пипети да са в </w:t>
      </w:r>
      <w:proofErr w:type="spellStart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>автоклавируеми</w:t>
      </w:r>
      <w:proofErr w:type="spellEnd"/>
      <w:r w:rsidRPr="00EF1C0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кутии. От представената от участника извадка от каталог е видно, че оферираните връхчета са в пликове.</w:t>
      </w:r>
    </w:p>
    <w:p w:rsidR="00EF1C0E" w:rsidRDefault="00EF1C0E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EF1C0E" w:rsidRPr="00DE2E07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E2E07">
        <w:rPr>
          <w:rFonts w:ascii="Times New Roman" w:hAnsi="Times New Roman" w:cs="Times New Roman"/>
          <w:b/>
          <w:sz w:val="24"/>
          <w:szCs w:val="24"/>
        </w:rPr>
        <w:t>.</w:t>
      </w:r>
      <w:r w:rsidRPr="00DE2E07">
        <w:rPr>
          <w:rFonts w:ascii="Times New Roman" w:hAnsi="Times New Roman" w:cs="Times New Roman"/>
          <w:sz w:val="24"/>
          <w:szCs w:val="24"/>
        </w:rPr>
        <w:t xml:space="preserve"> </w:t>
      </w:r>
      <w:r w:rsidRPr="00DE2E0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Pr="00DE2E07">
        <w:rPr>
          <w:rFonts w:ascii="Times New Roman" w:hAnsi="Times New Roman" w:cs="Times New Roman"/>
          <w:b/>
          <w:color w:val="000000"/>
          <w:sz w:val="24"/>
          <w:szCs w:val="24"/>
        </w:rPr>
        <w:t>Антисел</w:t>
      </w:r>
      <w:proofErr w:type="spellEnd"/>
      <w:r w:rsidRPr="00DE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България” ООД</w:t>
      </w:r>
    </w:p>
    <w:p w:rsidR="00EF1C0E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DE2E0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.1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основание чл.107, т.2, б“а“ от ЗОП се отстр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анява 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Антисел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България” ООД по обособени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позици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 25 и 34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, със следните мотиви:</w:t>
      </w:r>
    </w:p>
    <w:p w:rsidR="00EF1C0E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25 –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за молекулен ДНК маркер 100-1000bp. От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представенана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извадка от каталог е видно, че се оферира молекулен ДНК маркер 100-1500bp.</w:t>
      </w:r>
    </w:p>
    <w:p w:rsidR="00DE2E07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34 –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участникът не е представил поисканото от комисията разяснение, поради което не става ясно дали оферираният продукт отговаря на изискванията на възложителя, а именно реагентът за визуализиране на ДНК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бандове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да е  флуоресцентен.</w:t>
      </w:r>
    </w:p>
    <w:p w:rsidR="00DE2E07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E2E07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</w:t>
      </w:r>
      <w:r w:rsidRPr="00DE2E07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. </w:t>
      </w:r>
      <w:r w:rsidRPr="00DE2E07">
        <w:rPr>
          <w:rFonts w:ascii="Times New Roman" w:hAnsi="Times New Roman" w:cs="Times New Roman"/>
          <w:b/>
          <w:color w:val="000000"/>
          <w:sz w:val="24"/>
          <w:szCs w:val="24"/>
        </w:rPr>
        <w:t>„ФОТ” ООД</w:t>
      </w:r>
    </w:p>
    <w:p w:rsidR="00DE2E07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E2E0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5.1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и имайки предвид заложеното от Възложителя изискване към участник в процедурата, който кандидатства за обособени позиции с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да представи оферта за всички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подпозициии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обособената позиция, комисията предлага за отстраняване от процедурата участника „ФОТ” ООД по позиции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24; 28; 30; 36 и 44, със следните мотиви:</w:t>
      </w:r>
    </w:p>
    <w:p w:rsidR="00DE2E07" w:rsidRPr="00DE2E07" w:rsidRDefault="00DE2E07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24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представената от участника оферта не отговаря на изискването на възложителя ензимът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Протеиназа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 да показва стабилност и в широки граници на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pH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От представения каталог е видно, че  оферираният ензим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Протеиназа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 не показва стабилност в широки граници на </w:t>
      </w:r>
      <w:proofErr w:type="spellStart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pH</w:t>
      </w:r>
      <w:proofErr w:type="spellEnd"/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DE2E07" w:rsidRDefault="00B65492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28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 представените от участника оферта липсва информация дали обратната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транскриптаза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(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рекомбинантна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) има завишена термална стабилност и дали дължината на крайния продукт е не по-малко от 10- 12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килобази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, поради което не става ясно дали продуктът отговаря на изискванията, заложени от възложителя.</w:t>
      </w:r>
    </w:p>
    <w:p w:rsidR="00EF1C0E" w:rsidRDefault="00B65492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30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представената от участника оферта не отговаря на изискването на възложителя ДНК маркерът да позволява ориентировъчно да се определи концентрацията на PCR продукта. От представения каталог е видно, че  оферираният ДНК маркер не позволява ориентировъчно да се определи концентрацията на PCR продукта.</w:t>
      </w:r>
    </w:p>
    <w:p w:rsidR="00B65492" w:rsidRP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36 </w:t>
      </w:r>
      <w:r w:rsidRPr="00DE2E07">
        <w:rPr>
          <w:rFonts w:ascii="Times New Roman" w:hAnsi="Times New Roman" w:cs="Times New Roman"/>
          <w:bCs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Лоудинг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буфера за нанасяне на ДНК проби на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агарозен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гел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да съдържа три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тракинг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багрила за проследяване миграцията на ДНК. От представената от участника извадка от каталог е видно, че се оферира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Лоудинг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буфера, съдържащ две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тракинг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багрила за проследяване миграцията на ДНК.</w:t>
      </w:r>
    </w:p>
    <w:p w:rsid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44 </w:t>
      </w:r>
    </w:p>
    <w:p w:rsid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  <w:lang w:eastAsia="bg-BG"/>
        </w:rPr>
      </w:pP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44.11 - представената от участника оферта не отговаря на изискването на възложителя връхчетата за автоматични пипети да са с обем 1-10 милилитра. От представената от участника извадка от каталог е видно, че се оферират връхчета с обем до 10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микролитра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B65492" w:rsidRDefault="00B65492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  <w:lang w:eastAsia="bg-BG"/>
        </w:rPr>
      </w:pPr>
    </w:p>
    <w:p w:rsidR="00B65492" w:rsidRP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6</w:t>
      </w:r>
      <w:r w:rsidRPr="00B654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„</w:t>
      </w:r>
      <w:proofErr w:type="spellStart"/>
      <w:r w:rsidRPr="00B654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Ридаком</w:t>
      </w:r>
      <w:proofErr w:type="spellEnd"/>
      <w:r w:rsidRPr="00B654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 ЕООД</w:t>
      </w:r>
    </w:p>
    <w:p w:rsid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green"/>
          <w:lang w:eastAsia="bg-BG"/>
        </w:rPr>
      </w:pPr>
      <w:r w:rsidRPr="00B654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и имайки предвид заложеното от Възложителя изискване към участник в процедурата, който кандидатства за обособени позиции с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да представи оферта за всички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подпозициии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обособената позиция, комисията предлага за отстраняване от процедурата участника „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Ридаком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” ЕООД по позиции: 18;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21;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22;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24; 30;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36 и 44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, със следните мотиви:</w:t>
      </w:r>
    </w:p>
    <w:p w:rsidR="00B65492" w:rsidRDefault="00B65492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18 -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представената от участника оферта не отговаря на изискването на възложителя наборът да е за ръчно изолиране на бактериална ДНК от кърлежи, от кръв и от тъкани от животински материали, клетки, бактерии, дрожди, вируси, насекоми. От представената от участника извадка от каталог е видно, че се оферира набор за изолиране на ДНК от кърлежи.</w:t>
      </w:r>
    </w:p>
    <w:p w:rsidR="00B65492" w:rsidRDefault="00B65492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069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обособена позиция 22 -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наборът за синтез на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copy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DNA с висока специфичност да е с обем на реакцията 20µl. От представената от участника извадка от каталог е видно, че се оферира набор с обем на реакцията 50µl</w:t>
      </w:r>
    </w:p>
    <w:p w:rsidR="00B65492" w:rsidRP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По обособена позиция 36 -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 представената от участника оферта не отговаря на изискването на възложителя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Лоудинг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буфера за нанасяне на ДНК проби на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агарозен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гел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да съдържа три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тракинг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багрила за проследяване миграцията на ДНК. От представената от участника извадка от каталог е видно, че се оферира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Лоудинг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буфера, съдържащ две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тракинг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багрила за проследяване миграцията на ДНК.</w:t>
      </w:r>
    </w:p>
    <w:p w:rsidR="00B65492" w:rsidRP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обособена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позиция 44</w:t>
      </w:r>
    </w:p>
    <w:p w:rsid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44.11 – от представената от участника оферта не отговаря на изискването на възложителя връхчетата за автоматични пипети да са с обем 1-10 милилитра. От представената от участника извадка от каталог е видно, че се оферират връхчета с обем до 10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микролитра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B65492" w:rsidRP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Участникът не е представил поисканото от комисията разяснение по обособени позиции 21; 24 и 30, поради което не става ясно дали оферираните продукти отговарят на изискванията на възложителя, а именно:</w:t>
      </w:r>
    </w:p>
    <w:p w:rsidR="00B65492" w:rsidRP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обособена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позиция 21 - наборът за намножаване на вирусна РНК да съдържа референтно багрило ROX и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AccuStart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Taq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ДНК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полимераза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да съдържа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моноклонални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антитела. </w:t>
      </w:r>
    </w:p>
    <w:p w:rsidR="00B65492" w:rsidRP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обособена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позиция 24 -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Протеиназа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 да е с активност при 37 °С  - 600 U/ml и молекулното тегло на ензима да е 18 </w:t>
      </w:r>
      <w:proofErr w:type="spellStart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kD</w:t>
      </w:r>
      <w:proofErr w:type="spellEnd"/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B65492" w:rsidRDefault="00B65492" w:rsidP="00B6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обособена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>позиция 30 - ДНК маркерът да позволява ориентировъчно да се определи концентрацията на PCR продукта.</w:t>
      </w:r>
    </w:p>
    <w:p w:rsidR="00B65492" w:rsidRDefault="00B65492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502C25" w:rsidRPr="00502C25" w:rsidRDefault="00502C25" w:rsidP="0050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502C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„Ай Ви Ди България” ООД</w:t>
      </w:r>
    </w:p>
    <w:p w:rsidR="00B65492" w:rsidRDefault="00502C25" w:rsidP="0050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02C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7.1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02C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чл.107, т.2, б“а“ от ЗОП във връзка с чл.39, ал.3, т.1 и т.2 от ППЗОП и имайки предвид заложеното от Възложителя изискване към участник в процедурата, който кандидатства за обособени позиции с </w:t>
      </w:r>
      <w:proofErr w:type="spellStart"/>
      <w:r w:rsidRPr="00502C25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</w:t>
      </w:r>
      <w:proofErr w:type="spellEnd"/>
      <w:r w:rsidRPr="00502C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да представи оферта за всички </w:t>
      </w:r>
      <w:proofErr w:type="spellStart"/>
      <w:r w:rsidRPr="00502C25">
        <w:rPr>
          <w:rFonts w:ascii="Times New Roman" w:hAnsi="Times New Roman" w:cs="Times New Roman"/>
          <w:bCs/>
          <w:sz w:val="24"/>
          <w:szCs w:val="24"/>
          <w:lang w:eastAsia="bg-BG"/>
        </w:rPr>
        <w:t>подпозициии</w:t>
      </w:r>
      <w:proofErr w:type="spellEnd"/>
      <w:r w:rsidRPr="00502C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обособената позиция, комисията предлага за отстраняване от процедурата участника „Ай Ви Ди България” ООД по позиции:  13; 15; 18 и 20</w:t>
      </w:r>
      <w:r w:rsidR="00495A2A">
        <w:rPr>
          <w:rFonts w:ascii="Times New Roman" w:hAnsi="Times New Roman" w:cs="Times New Roman"/>
          <w:bCs/>
          <w:sz w:val="24"/>
          <w:szCs w:val="24"/>
          <w:lang w:eastAsia="bg-BG"/>
        </w:rPr>
        <w:t>, със следните мотиви:</w:t>
      </w:r>
    </w:p>
    <w:p w:rsidR="00566B0D" w:rsidRPr="00566B0D" w:rsidRDefault="00566B0D" w:rsidP="0056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B6549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обособена позиция 13 –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представената от участника оферта не отговаря на изискването на възложителя ELISA тестът за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лайшманиоза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IgG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да е чувствителност и специфичност не по-малко от 95%. От представената от участника извадка от каталог е видно, че се оферира тест с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чувствителнос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- 85% и специфичност – 91%.</w:t>
      </w:r>
    </w:p>
    <w:p w:rsidR="00566B0D" w:rsidRPr="00566B0D" w:rsidRDefault="00566B0D" w:rsidP="0056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обособена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позиция 15 - представената от участника оферта не отговаря на изискването на възложителя ELISA тестът за определяне на човешки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еозинофилен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катионен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протеин (ECP) да е с област на детекция 0,78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ng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/ml - 50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ng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/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ml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 От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 xml:space="preserve">представената от участника извадка от каталог е видно, че се оферира тест с област на детекция 0,312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ng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/ml - 20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ng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/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ml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 </w:t>
      </w:r>
    </w:p>
    <w:p w:rsidR="00566B0D" w:rsidRPr="00566B0D" w:rsidRDefault="00566B0D" w:rsidP="0056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обособена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позиция 18 - представената от участника оферта не отговаря на изискването на възложителя наборът да е за ръчно изолиране на бактериална ДНК от кърлежи, от кръв и от тъкани от животински материали, клетки, бактерии, дрожди, вируси, насекоми.;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елуиращият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обем да е 100-200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мкл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; максималният добив на ДНК след изолиране да е 30-40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мкг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566B0D" w:rsidRDefault="00566B0D" w:rsidP="0056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обособена </w:t>
      </w:r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позиция 20 - представената от участника оферта не отговаря на изискването на възложителя наборът за ръчно изолиране на вирусна РНК от телесни течности, тъкани, насекоми да е с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елуиращ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обем  50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мкл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От представената от участника извадка от каталог е видно, че се оферира набор с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елуиращ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бем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- 15 </w:t>
      </w:r>
      <w:proofErr w:type="spellStart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мкл</w:t>
      </w:r>
      <w:proofErr w:type="spellEnd"/>
      <w:r w:rsidRPr="00566B0D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566B0D" w:rsidRDefault="00566B0D" w:rsidP="0050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0E7C34" w:rsidRPr="00464E09" w:rsidRDefault="000E7C34" w:rsidP="00464E09">
      <w:pPr>
        <w:widowControl w:val="0"/>
        <w:tabs>
          <w:tab w:val="num" w:pos="720"/>
          <w:tab w:val="num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7C34" w:rsidRPr="00464E09" w:rsidRDefault="000E7C34" w:rsidP="0046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IV</w:t>
      </w:r>
      <w:r w:rsidRPr="00464E0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На основание чл. 110, ал. 1, т. 1 от ЗОП, ПРЕКРАТЯВАМ процедурата по </w:t>
      </w:r>
      <w:proofErr w:type="spellStart"/>
      <w:r w:rsidRPr="00464E0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долупосочените</w:t>
      </w:r>
      <w:proofErr w:type="spellEnd"/>
      <w:r w:rsidRPr="00464E0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обособени позиции, тъй като за тях не е подадена нито една оферта: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1. По обособена позиция № 5 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2. По обособена позиция № 10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3. По обособена позиция № 11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4. По обособена позиция № 31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5. По обособена позиция № 32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6. По обособена позиция № 41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7. По обособена позиция № 46</w:t>
      </w:r>
    </w:p>
    <w:p w:rsidR="00E7541A" w:rsidRP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8. По обособена позиция № 52</w:t>
      </w:r>
    </w:p>
    <w:p w:rsidR="000E7C34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7541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9. По обособена позиция № 56</w:t>
      </w:r>
    </w:p>
    <w:p w:rsidR="00E7541A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7541A" w:rsidRPr="00464E09" w:rsidRDefault="00E7541A" w:rsidP="00E75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bookmarkStart w:id="0" w:name="_GoBack"/>
      <w:bookmarkEnd w:id="0"/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основание чл.43, ал.1 от ЗОП, настоящото решение да бъде изпратено на участниците и публикувано в Профила на купувача при спазване на разпоредбите на ЗОП и ППЗОП.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След изтичане на срока за обжалване на решението, да бъдат предприети действия по сключване на договор с участника определен за изпълнител, след представяне на исканите документи, съобразно чл.112, ал.1 от ЗОП.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Решението подлежи на обжалване пред Комисията за защита на конкуренцията в 10-дневен срок от получаването му.</w:t>
      </w: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ВЪЗЛОЖИТЕЛ:</w:t>
      </w:r>
    </w:p>
    <w:p w:rsidR="000E7C34" w:rsidRPr="00464E09" w:rsidRDefault="000E7C34" w:rsidP="00464E0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0E7C34" w:rsidRPr="00464E09" w:rsidRDefault="000E7C34" w:rsidP="00464E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                                                                      </w:t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Pr="00464E09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>/Проф. д-р Т. Кантарджиев, дмн, мзм/</w:t>
      </w:r>
    </w:p>
    <w:sectPr w:rsidR="000E7C34" w:rsidRPr="00464E09" w:rsidSect="006B359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6B" w:rsidRDefault="00DB096B" w:rsidP="00C072E2">
      <w:pPr>
        <w:spacing w:after="0" w:line="240" w:lineRule="auto"/>
      </w:pPr>
      <w:r>
        <w:separator/>
      </w:r>
    </w:p>
  </w:endnote>
  <w:endnote w:type="continuationSeparator" w:id="0">
    <w:p w:rsidR="00DB096B" w:rsidRDefault="00DB096B" w:rsidP="00C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25" w:rsidRDefault="00502C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234">
      <w:rPr>
        <w:noProof/>
      </w:rPr>
      <w:t>9</w:t>
    </w:r>
    <w:r>
      <w:rPr>
        <w:noProof/>
      </w:rPr>
      <w:fldChar w:fldCharType="end"/>
    </w:r>
  </w:p>
  <w:p w:rsidR="00502C25" w:rsidRDefault="0050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6B" w:rsidRDefault="00DB096B" w:rsidP="00C072E2">
      <w:pPr>
        <w:spacing w:after="0" w:line="240" w:lineRule="auto"/>
      </w:pPr>
      <w:r>
        <w:separator/>
      </w:r>
    </w:p>
  </w:footnote>
  <w:footnote w:type="continuationSeparator" w:id="0">
    <w:p w:rsidR="00DB096B" w:rsidRDefault="00DB096B" w:rsidP="00C0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FE"/>
    <w:multiLevelType w:val="hybridMultilevel"/>
    <w:tmpl w:val="45265066"/>
    <w:lvl w:ilvl="0" w:tplc="6412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E31AA"/>
    <w:multiLevelType w:val="hybridMultilevel"/>
    <w:tmpl w:val="7DD0F39A"/>
    <w:lvl w:ilvl="0" w:tplc="FE384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E6234D"/>
    <w:multiLevelType w:val="hybridMultilevel"/>
    <w:tmpl w:val="31BEAA74"/>
    <w:lvl w:ilvl="0" w:tplc="185E51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F82"/>
    <w:multiLevelType w:val="hybridMultilevel"/>
    <w:tmpl w:val="C1184938"/>
    <w:lvl w:ilvl="0" w:tplc="3954CE1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C0046E"/>
    <w:multiLevelType w:val="hybridMultilevel"/>
    <w:tmpl w:val="2FD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AB6"/>
    <w:multiLevelType w:val="hybridMultilevel"/>
    <w:tmpl w:val="AC1E906E"/>
    <w:lvl w:ilvl="0" w:tplc="0402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F71FD"/>
    <w:multiLevelType w:val="hybridMultilevel"/>
    <w:tmpl w:val="47D06FA4"/>
    <w:lvl w:ilvl="0" w:tplc="942624DA">
      <w:start w:val="3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EE68A9"/>
    <w:multiLevelType w:val="hybridMultilevel"/>
    <w:tmpl w:val="55282F30"/>
    <w:lvl w:ilvl="0" w:tplc="F2DEC0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2506C"/>
    <w:multiLevelType w:val="hybridMultilevel"/>
    <w:tmpl w:val="FA22974C"/>
    <w:lvl w:ilvl="0" w:tplc="F5A0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C336F"/>
    <w:multiLevelType w:val="hybridMultilevel"/>
    <w:tmpl w:val="848A26EA"/>
    <w:lvl w:ilvl="0" w:tplc="0402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D757A6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56DA7"/>
    <w:multiLevelType w:val="hybridMultilevel"/>
    <w:tmpl w:val="382EA5C0"/>
    <w:lvl w:ilvl="0" w:tplc="B238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A74A4"/>
    <w:multiLevelType w:val="hybridMultilevel"/>
    <w:tmpl w:val="E4F09136"/>
    <w:lvl w:ilvl="0" w:tplc="70640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232" w:hanging="360"/>
      </w:p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4E862023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D3243"/>
    <w:multiLevelType w:val="hybridMultilevel"/>
    <w:tmpl w:val="800A976A"/>
    <w:lvl w:ilvl="0" w:tplc="5866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A5F77"/>
    <w:multiLevelType w:val="hybridMultilevel"/>
    <w:tmpl w:val="97CE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B7C"/>
    <w:rsid w:val="00002EA8"/>
    <w:rsid w:val="00012562"/>
    <w:rsid w:val="000140A0"/>
    <w:rsid w:val="00020261"/>
    <w:rsid w:val="00021B04"/>
    <w:rsid w:val="000800B5"/>
    <w:rsid w:val="00080CC1"/>
    <w:rsid w:val="00083EAC"/>
    <w:rsid w:val="00093732"/>
    <w:rsid w:val="00095F76"/>
    <w:rsid w:val="000B0187"/>
    <w:rsid w:val="000C1234"/>
    <w:rsid w:val="000D051E"/>
    <w:rsid w:val="000E048E"/>
    <w:rsid w:val="000E0C03"/>
    <w:rsid w:val="000E3B96"/>
    <w:rsid w:val="000E40E9"/>
    <w:rsid w:val="000E7C34"/>
    <w:rsid w:val="0011581A"/>
    <w:rsid w:val="00122FDB"/>
    <w:rsid w:val="00127396"/>
    <w:rsid w:val="00142186"/>
    <w:rsid w:val="00142484"/>
    <w:rsid w:val="00161DB4"/>
    <w:rsid w:val="00162C96"/>
    <w:rsid w:val="00163AE2"/>
    <w:rsid w:val="00166FCB"/>
    <w:rsid w:val="00180D77"/>
    <w:rsid w:val="001900C6"/>
    <w:rsid w:val="0019443C"/>
    <w:rsid w:val="001A32A8"/>
    <w:rsid w:val="001C0FA6"/>
    <w:rsid w:val="001C3A59"/>
    <w:rsid w:val="001C532F"/>
    <w:rsid w:val="001C5D93"/>
    <w:rsid w:val="001C5EE0"/>
    <w:rsid w:val="001D1696"/>
    <w:rsid w:val="001D444C"/>
    <w:rsid w:val="001E4FE3"/>
    <w:rsid w:val="001E649A"/>
    <w:rsid w:val="001F336B"/>
    <w:rsid w:val="001F3A6B"/>
    <w:rsid w:val="001F7779"/>
    <w:rsid w:val="002029C8"/>
    <w:rsid w:val="002165F7"/>
    <w:rsid w:val="00220E84"/>
    <w:rsid w:val="00241FA9"/>
    <w:rsid w:val="002479EB"/>
    <w:rsid w:val="00251794"/>
    <w:rsid w:val="0025264A"/>
    <w:rsid w:val="002534C7"/>
    <w:rsid w:val="00253757"/>
    <w:rsid w:val="0025648B"/>
    <w:rsid w:val="00266830"/>
    <w:rsid w:val="0027064F"/>
    <w:rsid w:val="00272F09"/>
    <w:rsid w:val="0028293E"/>
    <w:rsid w:val="00285198"/>
    <w:rsid w:val="002869C4"/>
    <w:rsid w:val="002930BA"/>
    <w:rsid w:val="00293E12"/>
    <w:rsid w:val="00295565"/>
    <w:rsid w:val="002A33E8"/>
    <w:rsid w:val="002A4EFF"/>
    <w:rsid w:val="002A543E"/>
    <w:rsid w:val="002A7AB8"/>
    <w:rsid w:val="002A7FF6"/>
    <w:rsid w:val="002B477F"/>
    <w:rsid w:val="002D46A0"/>
    <w:rsid w:val="002D7F9B"/>
    <w:rsid w:val="002E01F3"/>
    <w:rsid w:val="002E0A18"/>
    <w:rsid w:val="002E4809"/>
    <w:rsid w:val="002F2447"/>
    <w:rsid w:val="002F5231"/>
    <w:rsid w:val="002F584E"/>
    <w:rsid w:val="002F72E6"/>
    <w:rsid w:val="00306190"/>
    <w:rsid w:val="00312AB8"/>
    <w:rsid w:val="003141D7"/>
    <w:rsid w:val="00315AEC"/>
    <w:rsid w:val="00321127"/>
    <w:rsid w:val="00325FF9"/>
    <w:rsid w:val="00332F3B"/>
    <w:rsid w:val="00337D5F"/>
    <w:rsid w:val="0034187E"/>
    <w:rsid w:val="00345771"/>
    <w:rsid w:val="00354969"/>
    <w:rsid w:val="00364654"/>
    <w:rsid w:val="00377798"/>
    <w:rsid w:val="00383EA5"/>
    <w:rsid w:val="0038723C"/>
    <w:rsid w:val="003942F3"/>
    <w:rsid w:val="00396036"/>
    <w:rsid w:val="00397C5A"/>
    <w:rsid w:val="003A7540"/>
    <w:rsid w:val="003C066B"/>
    <w:rsid w:val="003C128B"/>
    <w:rsid w:val="003C2F6E"/>
    <w:rsid w:val="003E1A42"/>
    <w:rsid w:val="003E2A68"/>
    <w:rsid w:val="003F2780"/>
    <w:rsid w:val="003F2B94"/>
    <w:rsid w:val="003F3BFF"/>
    <w:rsid w:val="003F6CE1"/>
    <w:rsid w:val="004065E3"/>
    <w:rsid w:val="00412AAD"/>
    <w:rsid w:val="004140F6"/>
    <w:rsid w:val="00424896"/>
    <w:rsid w:val="00431C8A"/>
    <w:rsid w:val="0044064F"/>
    <w:rsid w:val="00445D37"/>
    <w:rsid w:val="00451142"/>
    <w:rsid w:val="004521D2"/>
    <w:rsid w:val="004541A6"/>
    <w:rsid w:val="00464E09"/>
    <w:rsid w:val="0047430A"/>
    <w:rsid w:val="004909D7"/>
    <w:rsid w:val="00493A9F"/>
    <w:rsid w:val="00495A2A"/>
    <w:rsid w:val="004A2166"/>
    <w:rsid w:val="004A7A83"/>
    <w:rsid w:val="004B5D68"/>
    <w:rsid w:val="004B5DBC"/>
    <w:rsid w:val="004B6EF2"/>
    <w:rsid w:val="004C5083"/>
    <w:rsid w:val="004D4530"/>
    <w:rsid w:val="004D560C"/>
    <w:rsid w:val="004E129A"/>
    <w:rsid w:val="004F43CF"/>
    <w:rsid w:val="005024D5"/>
    <w:rsid w:val="00502C25"/>
    <w:rsid w:val="00507595"/>
    <w:rsid w:val="00514EAE"/>
    <w:rsid w:val="00534B14"/>
    <w:rsid w:val="00544A21"/>
    <w:rsid w:val="005557B5"/>
    <w:rsid w:val="00556647"/>
    <w:rsid w:val="00565167"/>
    <w:rsid w:val="0056533C"/>
    <w:rsid w:val="00566B0D"/>
    <w:rsid w:val="00566BC8"/>
    <w:rsid w:val="00583D2F"/>
    <w:rsid w:val="00584A7E"/>
    <w:rsid w:val="0058675C"/>
    <w:rsid w:val="00587AC9"/>
    <w:rsid w:val="005A3C99"/>
    <w:rsid w:val="005A787B"/>
    <w:rsid w:val="005C2BBA"/>
    <w:rsid w:val="005C345F"/>
    <w:rsid w:val="005C3C69"/>
    <w:rsid w:val="005F2686"/>
    <w:rsid w:val="005F3000"/>
    <w:rsid w:val="005F5957"/>
    <w:rsid w:val="00601297"/>
    <w:rsid w:val="00604EB7"/>
    <w:rsid w:val="0060751F"/>
    <w:rsid w:val="00611137"/>
    <w:rsid w:val="00612469"/>
    <w:rsid w:val="00614FD0"/>
    <w:rsid w:val="00621BE5"/>
    <w:rsid w:val="00621D12"/>
    <w:rsid w:val="00637C20"/>
    <w:rsid w:val="00647A2C"/>
    <w:rsid w:val="0065055E"/>
    <w:rsid w:val="006516BE"/>
    <w:rsid w:val="00653E4C"/>
    <w:rsid w:val="00654A9C"/>
    <w:rsid w:val="0066180B"/>
    <w:rsid w:val="006651AE"/>
    <w:rsid w:val="00676DA3"/>
    <w:rsid w:val="006936FA"/>
    <w:rsid w:val="00695DBB"/>
    <w:rsid w:val="006A2B14"/>
    <w:rsid w:val="006B284F"/>
    <w:rsid w:val="006B3591"/>
    <w:rsid w:val="006C4653"/>
    <w:rsid w:val="006C7D8A"/>
    <w:rsid w:val="006D03A9"/>
    <w:rsid w:val="006D240B"/>
    <w:rsid w:val="006D61F3"/>
    <w:rsid w:val="006E45E2"/>
    <w:rsid w:val="006E70DA"/>
    <w:rsid w:val="006F1D56"/>
    <w:rsid w:val="006F3A25"/>
    <w:rsid w:val="00712E64"/>
    <w:rsid w:val="00716DC9"/>
    <w:rsid w:val="007310F8"/>
    <w:rsid w:val="00733E99"/>
    <w:rsid w:val="007352ED"/>
    <w:rsid w:val="00737707"/>
    <w:rsid w:val="00753684"/>
    <w:rsid w:val="00753874"/>
    <w:rsid w:val="007629B8"/>
    <w:rsid w:val="007703CB"/>
    <w:rsid w:val="00771E8B"/>
    <w:rsid w:val="007758F6"/>
    <w:rsid w:val="0079119B"/>
    <w:rsid w:val="007A44BA"/>
    <w:rsid w:val="007A4B3C"/>
    <w:rsid w:val="007A720F"/>
    <w:rsid w:val="007B1B99"/>
    <w:rsid w:val="007B29DB"/>
    <w:rsid w:val="007C2270"/>
    <w:rsid w:val="007C5B69"/>
    <w:rsid w:val="007C727C"/>
    <w:rsid w:val="007D50E8"/>
    <w:rsid w:val="007D695F"/>
    <w:rsid w:val="007E5E9F"/>
    <w:rsid w:val="007E7B81"/>
    <w:rsid w:val="007F320C"/>
    <w:rsid w:val="007F4001"/>
    <w:rsid w:val="008006A6"/>
    <w:rsid w:val="008013F0"/>
    <w:rsid w:val="00806DAF"/>
    <w:rsid w:val="00811D67"/>
    <w:rsid w:val="00811FD0"/>
    <w:rsid w:val="00812C18"/>
    <w:rsid w:val="00816D20"/>
    <w:rsid w:val="00820CC6"/>
    <w:rsid w:val="00822496"/>
    <w:rsid w:val="00826B19"/>
    <w:rsid w:val="00827434"/>
    <w:rsid w:val="0083291E"/>
    <w:rsid w:val="008372A7"/>
    <w:rsid w:val="00840822"/>
    <w:rsid w:val="00841559"/>
    <w:rsid w:val="00842328"/>
    <w:rsid w:val="00853F7E"/>
    <w:rsid w:val="00866A1B"/>
    <w:rsid w:val="00870A24"/>
    <w:rsid w:val="00881126"/>
    <w:rsid w:val="008820E6"/>
    <w:rsid w:val="00896B52"/>
    <w:rsid w:val="008A7E00"/>
    <w:rsid w:val="008B389A"/>
    <w:rsid w:val="008C7DF2"/>
    <w:rsid w:val="008E1257"/>
    <w:rsid w:val="008E1A58"/>
    <w:rsid w:val="008E5A14"/>
    <w:rsid w:val="008E60DB"/>
    <w:rsid w:val="008E7BE6"/>
    <w:rsid w:val="008F7966"/>
    <w:rsid w:val="00911569"/>
    <w:rsid w:val="009307EE"/>
    <w:rsid w:val="00937A4D"/>
    <w:rsid w:val="009433B3"/>
    <w:rsid w:val="00947A3B"/>
    <w:rsid w:val="0097435F"/>
    <w:rsid w:val="00982058"/>
    <w:rsid w:val="00982B37"/>
    <w:rsid w:val="00995B0A"/>
    <w:rsid w:val="00996293"/>
    <w:rsid w:val="009A503A"/>
    <w:rsid w:val="009B7F54"/>
    <w:rsid w:val="009D06BF"/>
    <w:rsid w:val="009D3403"/>
    <w:rsid w:val="009E45B3"/>
    <w:rsid w:val="009E4D47"/>
    <w:rsid w:val="009F196F"/>
    <w:rsid w:val="009F39B3"/>
    <w:rsid w:val="00A06FBE"/>
    <w:rsid w:val="00A15039"/>
    <w:rsid w:val="00A210DD"/>
    <w:rsid w:val="00A22F6F"/>
    <w:rsid w:val="00A270DC"/>
    <w:rsid w:val="00A5374C"/>
    <w:rsid w:val="00A54F9D"/>
    <w:rsid w:val="00A57463"/>
    <w:rsid w:val="00A6561C"/>
    <w:rsid w:val="00A73E29"/>
    <w:rsid w:val="00A82306"/>
    <w:rsid w:val="00A86BCB"/>
    <w:rsid w:val="00A87C09"/>
    <w:rsid w:val="00A909B2"/>
    <w:rsid w:val="00AA4604"/>
    <w:rsid w:val="00AB0B62"/>
    <w:rsid w:val="00AB185F"/>
    <w:rsid w:val="00AE7CB3"/>
    <w:rsid w:val="00B11F75"/>
    <w:rsid w:val="00B32B9C"/>
    <w:rsid w:val="00B34ECB"/>
    <w:rsid w:val="00B36B89"/>
    <w:rsid w:val="00B40327"/>
    <w:rsid w:val="00B4360E"/>
    <w:rsid w:val="00B45637"/>
    <w:rsid w:val="00B45E17"/>
    <w:rsid w:val="00B55210"/>
    <w:rsid w:val="00B64763"/>
    <w:rsid w:val="00B65492"/>
    <w:rsid w:val="00B73057"/>
    <w:rsid w:val="00B764BA"/>
    <w:rsid w:val="00B77E0C"/>
    <w:rsid w:val="00BA6E24"/>
    <w:rsid w:val="00BC1814"/>
    <w:rsid w:val="00BC2B2E"/>
    <w:rsid w:val="00BD556F"/>
    <w:rsid w:val="00BE7D71"/>
    <w:rsid w:val="00C00301"/>
    <w:rsid w:val="00C072E2"/>
    <w:rsid w:val="00C203B8"/>
    <w:rsid w:val="00C208AA"/>
    <w:rsid w:val="00C219C8"/>
    <w:rsid w:val="00C3110C"/>
    <w:rsid w:val="00C35346"/>
    <w:rsid w:val="00C47FFB"/>
    <w:rsid w:val="00C56231"/>
    <w:rsid w:val="00C63F13"/>
    <w:rsid w:val="00C71A23"/>
    <w:rsid w:val="00C920C8"/>
    <w:rsid w:val="00CB0C54"/>
    <w:rsid w:val="00CB3956"/>
    <w:rsid w:val="00CC0E73"/>
    <w:rsid w:val="00CD4D02"/>
    <w:rsid w:val="00CD6F4B"/>
    <w:rsid w:val="00CD70A8"/>
    <w:rsid w:val="00CE5487"/>
    <w:rsid w:val="00CF0E26"/>
    <w:rsid w:val="00CF16DF"/>
    <w:rsid w:val="00CF7E96"/>
    <w:rsid w:val="00D0017D"/>
    <w:rsid w:val="00D030F0"/>
    <w:rsid w:val="00D05AB9"/>
    <w:rsid w:val="00D12CF4"/>
    <w:rsid w:val="00D321A0"/>
    <w:rsid w:val="00D37118"/>
    <w:rsid w:val="00D4518F"/>
    <w:rsid w:val="00D549EF"/>
    <w:rsid w:val="00D56481"/>
    <w:rsid w:val="00D607AD"/>
    <w:rsid w:val="00D70631"/>
    <w:rsid w:val="00D722E2"/>
    <w:rsid w:val="00D72DE0"/>
    <w:rsid w:val="00D74802"/>
    <w:rsid w:val="00D91233"/>
    <w:rsid w:val="00D96228"/>
    <w:rsid w:val="00DA3E02"/>
    <w:rsid w:val="00DA417F"/>
    <w:rsid w:val="00DA6E46"/>
    <w:rsid w:val="00DB0537"/>
    <w:rsid w:val="00DB096B"/>
    <w:rsid w:val="00DC2029"/>
    <w:rsid w:val="00DC2809"/>
    <w:rsid w:val="00DD14ED"/>
    <w:rsid w:val="00DD5DF1"/>
    <w:rsid w:val="00DE2CB2"/>
    <w:rsid w:val="00DE2E07"/>
    <w:rsid w:val="00DE57BE"/>
    <w:rsid w:val="00E069BE"/>
    <w:rsid w:val="00E205E4"/>
    <w:rsid w:val="00E2175D"/>
    <w:rsid w:val="00E24777"/>
    <w:rsid w:val="00E33BE6"/>
    <w:rsid w:val="00E3510E"/>
    <w:rsid w:val="00E418C0"/>
    <w:rsid w:val="00E735FD"/>
    <w:rsid w:val="00E7541A"/>
    <w:rsid w:val="00E86C11"/>
    <w:rsid w:val="00E96168"/>
    <w:rsid w:val="00E97D28"/>
    <w:rsid w:val="00EA0D15"/>
    <w:rsid w:val="00EA6876"/>
    <w:rsid w:val="00EB414B"/>
    <w:rsid w:val="00EC62A6"/>
    <w:rsid w:val="00ED001A"/>
    <w:rsid w:val="00ED16DA"/>
    <w:rsid w:val="00ED1E23"/>
    <w:rsid w:val="00EE7A9B"/>
    <w:rsid w:val="00EF1C0E"/>
    <w:rsid w:val="00EF212F"/>
    <w:rsid w:val="00F02F6D"/>
    <w:rsid w:val="00F04B20"/>
    <w:rsid w:val="00F1097B"/>
    <w:rsid w:val="00F1470C"/>
    <w:rsid w:val="00F30A05"/>
    <w:rsid w:val="00F3163F"/>
    <w:rsid w:val="00F3182B"/>
    <w:rsid w:val="00F33AE4"/>
    <w:rsid w:val="00F36373"/>
    <w:rsid w:val="00F40B47"/>
    <w:rsid w:val="00F43521"/>
    <w:rsid w:val="00F43CE9"/>
    <w:rsid w:val="00F446CD"/>
    <w:rsid w:val="00F47487"/>
    <w:rsid w:val="00F55B7C"/>
    <w:rsid w:val="00F56008"/>
    <w:rsid w:val="00F64E3E"/>
    <w:rsid w:val="00F7251C"/>
    <w:rsid w:val="00F94A33"/>
    <w:rsid w:val="00FC254E"/>
    <w:rsid w:val="00FC2980"/>
    <w:rsid w:val="00FC7C1C"/>
    <w:rsid w:val="00FD5E5D"/>
    <w:rsid w:val="00FE339B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BE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unov@nci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Hygia</Company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Yordanov</dc:creator>
  <cp:keywords/>
  <dc:description/>
  <cp:lastModifiedBy>Irina</cp:lastModifiedBy>
  <cp:revision>296</cp:revision>
  <cp:lastPrinted>2017-07-27T06:07:00Z</cp:lastPrinted>
  <dcterms:created xsi:type="dcterms:W3CDTF">2015-07-09T07:48:00Z</dcterms:created>
  <dcterms:modified xsi:type="dcterms:W3CDTF">2017-08-23T06:07:00Z</dcterms:modified>
</cp:coreProperties>
</file>