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>„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Доставка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на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диагностични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консумативи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за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НЦЗПБ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през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2018г. </w:t>
      </w:r>
      <w:proofErr w:type="spellStart"/>
      <w:proofErr w:type="gramStart"/>
      <w:r w:rsidR="000A2601" w:rsidRPr="000A2601">
        <w:rPr>
          <w:rFonts w:ascii="Times New Roman" w:hAnsi="Times New Roman"/>
          <w:b/>
          <w:sz w:val="24"/>
        </w:rPr>
        <w:t>по</w:t>
      </w:r>
      <w:proofErr w:type="spellEnd"/>
      <w:proofErr w:type="gram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проекти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финансирани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от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B22643">
        <w:rPr>
          <w:rFonts w:ascii="Times New Roman" w:eastAsia="Calibri" w:hAnsi="Times New Roman" w:cs="Times New Roman"/>
          <w:sz w:val="24"/>
          <w:szCs w:val="24"/>
        </w:rPr>
        <w:t>213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B22643">
        <w:rPr>
          <w:rFonts w:ascii="Times New Roman" w:eastAsia="Calibri" w:hAnsi="Times New Roman" w:cs="Times New Roman"/>
          <w:sz w:val="24"/>
          <w:szCs w:val="24"/>
        </w:rPr>
        <w:t>04.10.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22643">
        <w:rPr>
          <w:rFonts w:ascii="Times New Roman" w:eastAsia="Times New Roman" w:hAnsi="Times New Roman" w:cs="Times New Roman"/>
          <w:sz w:val="24"/>
          <w:szCs w:val="24"/>
          <w:lang w:eastAsia="bg-BG"/>
        </w:rPr>
        <w:t>04.10.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D041C" w:rsidRPr="00816B7C">
        <w:rPr>
          <w:rFonts w:ascii="Times New Roman" w:hAnsi="Times New Roman" w:cs="Times New Roman"/>
          <w:sz w:val="24"/>
          <w:szCs w:val="24"/>
        </w:rPr>
        <w:t>№ 11/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1C" w:rsidRPr="00816B7C">
        <w:rPr>
          <w:rFonts w:ascii="Times New Roman" w:hAnsi="Times New Roman" w:cs="Times New Roman"/>
          <w:sz w:val="24"/>
          <w:szCs w:val="24"/>
        </w:rPr>
        <w:t>0.09.2018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41C" w:rsidRPr="00816B7C">
        <w:rPr>
          <w:rFonts w:ascii="Times New Roman" w:hAnsi="Times New Roman" w:cs="Times New Roman"/>
          <w:sz w:val="24"/>
          <w:szCs w:val="24"/>
        </w:rPr>
        <w:t>г</w:t>
      </w:r>
      <w:r w:rsidR="001D04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FF9" w:rsidRPr="00373A3C" w:rsidRDefault="00771FF9" w:rsidP="00771FF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</w:t>
      </w:r>
      <w:proofErr w:type="spellStart"/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Ридаком</w:t>
      </w:r>
      <w:proofErr w:type="spellEnd"/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”ЕООД</w:t>
      </w: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441E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175040885</w:t>
      </w: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 </w:t>
      </w:r>
      <w:r w:rsidRPr="008441E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ул.“Коломан“№1, офис 217,  представлявано от  Дечо Дечев</w:t>
      </w:r>
      <w:r w:rsidRPr="008441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8441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8441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проекти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финансирани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от</w:t>
      </w:r>
      <w:proofErr w:type="spellEnd"/>
      <w:r w:rsidR="000A2601">
        <w:rPr>
          <w:rFonts w:ascii="Times New Roman" w:hAnsi="Times New Roman"/>
          <w:sz w:val="24"/>
        </w:rPr>
        <w:t xml:space="preserve">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771F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4446,50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500EA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0C3285" w:rsidRDefault="00771FF9" w:rsidP="00771FF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925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771FF9" w:rsidRPr="00373A3C" w:rsidRDefault="00771FF9" w:rsidP="00771FF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FF9" w:rsidRDefault="00771FF9" w:rsidP="00771FF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771FF9" w:rsidRPr="00373A3C" w:rsidRDefault="00771FF9" w:rsidP="00771FF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FF9" w:rsidRDefault="00771FF9" w:rsidP="00771FF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243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>.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1C243B">
        <w:rPr>
          <w:rFonts w:ascii="Times New Roman" w:hAnsi="Times New Roman" w:cs="Times New Roman"/>
          <w:sz w:val="24"/>
          <w:szCs w:val="24"/>
        </w:rPr>
        <w:t xml:space="preserve">,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ул.</w:t>
      </w:r>
      <w:proofErr w:type="gramEnd"/>
      <w:r w:rsidRPr="001C243B">
        <w:rPr>
          <w:rFonts w:ascii="Times New Roman" w:hAnsi="Times New Roman" w:cs="Times New Roman"/>
          <w:sz w:val="24"/>
          <w:szCs w:val="24"/>
          <w:lang w:val="bg-BG"/>
        </w:rPr>
        <w:t xml:space="preserve"> Коломан 1</w:t>
      </w:r>
      <w:r w:rsidRPr="001C243B">
        <w:rPr>
          <w:rFonts w:ascii="Times New Roman" w:hAnsi="Times New Roman" w:cs="Times New Roman"/>
          <w:sz w:val="24"/>
          <w:szCs w:val="24"/>
        </w:rPr>
        <w:t>,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 xml:space="preserve"> офис 217,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.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02 955 99 98,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02 958 65 68</w:t>
      </w:r>
      <w:r w:rsidRPr="001C243B">
        <w:rPr>
          <w:rFonts w:ascii="Times New Roman" w:hAnsi="Times New Roman" w:cs="Times New Roman"/>
          <w:sz w:val="24"/>
          <w:szCs w:val="24"/>
        </w:rPr>
        <w:t xml:space="preserve">, е-mail: op@ridacom.com,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Дечо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Дечев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FF9" w:rsidRDefault="00771FF9" w:rsidP="00771FF9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1F" w:rsidRDefault="00B7791F" w:rsidP="00B67222">
      <w:pPr>
        <w:spacing w:line="240" w:lineRule="auto"/>
      </w:pPr>
      <w:r>
        <w:separator/>
      </w:r>
    </w:p>
  </w:endnote>
  <w:endnote w:type="continuationSeparator" w:id="0">
    <w:p w:rsidR="00B7791F" w:rsidRDefault="00B7791F" w:rsidP="00B6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664" w:rsidRDefault="00A8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D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7222" w:rsidRDefault="00B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1F" w:rsidRDefault="00B7791F" w:rsidP="00B67222">
      <w:pPr>
        <w:spacing w:line="240" w:lineRule="auto"/>
      </w:pPr>
      <w:r>
        <w:separator/>
      </w:r>
    </w:p>
  </w:footnote>
  <w:footnote w:type="continuationSeparator" w:id="0">
    <w:p w:rsidR="00B7791F" w:rsidRDefault="00B7791F" w:rsidP="00B6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  <w:jc w:val="right"/>
    </w:pPr>
  </w:p>
  <w:p w:rsidR="00B67222" w:rsidRDefault="00B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6B3F"/>
    <w:rsid w:val="00091E2E"/>
    <w:rsid w:val="000A08A5"/>
    <w:rsid w:val="000A2601"/>
    <w:rsid w:val="000C3285"/>
    <w:rsid w:val="0015156B"/>
    <w:rsid w:val="00155FC1"/>
    <w:rsid w:val="001D041C"/>
    <w:rsid w:val="001D12AE"/>
    <w:rsid w:val="002500EA"/>
    <w:rsid w:val="00265A13"/>
    <w:rsid w:val="00274B07"/>
    <w:rsid w:val="003326D8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611D56"/>
    <w:rsid w:val="00620E7E"/>
    <w:rsid w:val="00627BEE"/>
    <w:rsid w:val="006953A4"/>
    <w:rsid w:val="006B6F27"/>
    <w:rsid w:val="006C3D43"/>
    <w:rsid w:val="006E0D1E"/>
    <w:rsid w:val="00705C83"/>
    <w:rsid w:val="00754355"/>
    <w:rsid w:val="00763FB7"/>
    <w:rsid w:val="00771FF9"/>
    <w:rsid w:val="007D7E9D"/>
    <w:rsid w:val="00807617"/>
    <w:rsid w:val="008110C1"/>
    <w:rsid w:val="008B390D"/>
    <w:rsid w:val="008D6166"/>
    <w:rsid w:val="009116B5"/>
    <w:rsid w:val="00962066"/>
    <w:rsid w:val="00972412"/>
    <w:rsid w:val="00A6680B"/>
    <w:rsid w:val="00A84664"/>
    <w:rsid w:val="00A86F16"/>
    <w:rsid w:val="00AB0392"/>
    <w:rsid w:val="00AB65AA"/>
    <w:rsid w:val="00B22643"/>
    <w:rsid w:val="00B67222"/>
    <w:rsid w:val="00B7791F"/>
    <w:rsid w:val="00B81C9B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A14AF"/>
    <w:rsid w:val="00DE5CB4"/>
    <w:rsid w:val="00E000E4"/>
    <w:rsid w:val="00E00770"/>
    <w:rsid w:val="00E13FDD"/>
    <w:rsid w:val="00E26A70"/>
    <w:rsid w:val="00E459EE"/>
    <w:rsid w:val="00ED0FD4"/>
    <w:rsid w:val="00F56526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19</cp:revision>
  <dcterms:created xsi:type="dcterms:W3CDTF">2018-04-11T06:20:00Z</dcterms:created>
  <dcterms:modified xsi:type="dcterms:W3CDTF">2018-10-04T07:06:00Z</dcterms:modified>
</cp:coreProperties>
</file>