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A3" w:rsidRPr="007904A3" w:rsidRDefault="007904A3" w:rsidP="007904A3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904A3">
        <w:rPr>
          <w:rFonts w:ascii="Calibri" w:hAnsi="Calibri" w:cs="Calibri"/>
          <w:b/>
          <w:i/>
          <w:sz w:val="22"/>
          <w:szCs w:val="22"/>
        </w:rPr>
        <w:tab/>
      </w:r>
      <w:r w:rsidRPr="007904A3">
        <w:rPr>
          <w:rFonts w:ascii="Calibri" w:hAnsi="Calibri" w:cs="Calibri"/>
          <w:b/>
          <w:i/>
          <w:sz w:val="22"/>
          <w:szCs w:val="22"/>
        </w:rPr>
        <w:tab/>
      </w:r>
      <w:r w:rsidRPr="007904A3">
        <w:rPr>
          <w:rFonts w:ascii="Calibri" w:hAnsi="Calibri" w:cs="Calibri"/>
          <w:b/>
          <w:i/>
          <w:sz w:val="22"/>
          <w:szCs w:val="22"/>
        </w:rPr>
        <w:tab/>
      </w:r>
      <w:r w:rsidRPr="007904A3">
        <w:rPr>
          <w:rFonts w:ascii="Calibri" w:hAnsi="Calibri" w:cs="Calibri"/>
          <w:b/>
          <w:i/>
          <w:sz w:val="22"/>
          <w:szCs w:val="22"/>
        </w:rPr>
        <w:tab/>
      </w:r>
      <w:r w:rsidRPr="007904A3">
        <w:rPr>
          <w:rFonts w:ascii="Calibri" w:hAnsi="Calibri" w:cs="Calibri"/>
          <w:b/>
          <w:i/>
          <w:sz w:val="22"/>
          <w:szCs w:val="22"/>
        </w:rPr>
        <w:tab/>
      </w:r>
      <w:r w:rsidRPr="007904A3">
        <w:rPr>
          <w:rFonts w:ascii="Calibri" w:hAnsi="Calibri" w:cs="Calibri"/>
          <w:b/>
          <w:i/>
          <w:sz w:val="22"/>
          <w:szCs w:val="22"/>
        </w:rPr>
        <w:tab/>
      </w:r>
      <w:r w:rsidRPr="007904A3">
        <w:rPr>
          <w:rFonts w:ascii="Calibri" w:hAnsi="Calibri" w:cs="Calibri"/>
          <w:b/>
          <w:i/>
          <w:sz w:val="22"/>
          <w:szCs w:val="22"/>
        </w:rPr>
        <w:tab/>
      </w:r>
      <w:r w:rsidRPr="007904A3">
        <w:rPr>
          <w:rFonts w:ascii="Calibri" w:hAnsi="Calibri" w:cs="Calibri"/>
          <w:b/>
          <w:i/>
          <w:sz w:val="22"/>
          <w:szCs w:val="22"/>
        </w:rPr>
        <w:tab/>
      </w:r>
      <w:r w:rsidRPr="007904A3">
        <w:rPr>
          <w:rFonts w:ascii="Calibri" w:hAnsi="Calibri" w:cs="Calibri"/>
          <w:b/>
          <w:i/>
          <w:sz w:val="22"/>
          <w:szCs w:val="22"/>
        </w:rPr>
        <w:tab/>
      </w:r>
    </w:p>
    <w:p w:rsidR="007904A3" w:rsidRPr="007904A3" w:rsidRDefault="007904A3" w:rsidP="007904A3">
      <w:pPr>
        <w:jc w:val="center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 xml:space="preserve"> ТЕХНИЧЕСКА СПЕЦИФИКАЦИЯ</w:t>
      </w:r>
    </w:p>
    <w:p w:rsidR="007904A3" w:rsidRPr="007904A3" w:rsidRDefault="007904A3" w:rsidP="00790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904A3">
        <w:rPr>
          <w:rFonts w:ascii="Calibri" w:eastAsia="Calibri" w:hAnsi="Calibri" w:cs="Calibri"/>
          <w:b/>
          <w:sz w:val="22"/>
          <w:szCs w:val="22"/>
          <w:lang w:eastAsia="en-US"/>
        </w:rPr>
        <w:t>за „Изготвяне на оценка на съответствието</w:t>
      </w:r>
      <w:r w:rsidRPr="007904A3">
        <w:rPr>
          <w:rFonts w:ascii="Calibri" w:hAnsi="Calibri" w:cs="Calibri"/>
          <w:b/>
          <w:sz w:val="22"/>
          <w:szCs w:val="22"/>
        </w:rPr>
        <w:t xml:space="preserve"> с основните изисквания, съгласно </w:t>
      </w:r>
      <w:r w:rsidRPr="007904A3">
        <w:rPr>
          <w:rFonts w:ascii="Calibri" w:hAnsi="Calibri" w:cs="Calibri"/>
          <w:b/>
          <w:iCs/>
          <w:szCs w:val="22"/>
        </w:rPr>
        <w:t>чл. 142, ал. 5 от</w:t>
      </w:r>
      <w:r w:rsidRPr="007904A3">
        <w:rPr>
          <w:rFonts w:ascii="Calibri" w:hAnsi="Calibri" w:cs="Calibri"/>
          <w:b/>
          <w:iCs/>
          <w:color w:val="404040"/>
          <w:szCs w:val="22"/>
        </w:rPr>
        <w:t xml:space="preserve"> </w:t>
      </w:r>
      <w:r w:rsidRPr="007904A3">
        <w:rPr>
          <w:rFonts w:ascii="Calibri" w:hAnsi="Calibri" w:cs="Calibri"/>
          <w:b/>
          <w:iCs/>
          <w:szCs w:val="22"/>
        </w:rPr>
        <w:t>ЗУТ</w:t>
      </w:r>
      <w:r w:rsidRPr="007904A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и осъществяване на строителен надзор във връзка с изпълнение на СМР в сградите на </w:t>
      </w:r>
      <w:r w:rsidRPr="007904A3">
        <w:rPr>
          <w:rFonts w:ascii="Calibri" w:hAnsi="Calibri" w:cs="Calibri"/>
          <w:b/>
          <w:sz w:val="22"/>
          <w:szCs w:val="22"/>
        </w:rPr>
        <w:t xml:space="preserve">НЦЗПБ </w:t>
      </w:r>
      <w:r w:rsidRPr="007904A3">
        <w:rPr>
          <w:rFonts w:ascii="Calibri" w:eastAsia="Calibri" w:hAnsi="Calibri" w:cs="Calibri"/>
          <w:b/>
          <w:sz w:val="22"/>
          <w:szCs w:val="22"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 г.”, процедура чрез подбор BG 05 M2 OP 001-1.002 „Изграждане и развитие на центрове за компетентност“, по две обособени позиции:</w:t>
      </w:r>
    </w:p>
    <w:p w:rsidR="007904A3" w:rsidRPr="007904A3" w:rsidRDefault="007904A3" w:rsidP="007904A3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7904A3">
        <w:rPr>
          <w:rFonts w:ascii="Calibri" w:eastAsia="Calibri" w:hAnsi="Calibri" w:cs="Calibr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 xml:space="preserve">Гр. София, бул. "Янко Сакъзов" № 26 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1. Експертна лаборатория за молекулярногенетичен, спектометричен и протеомен анализ;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2. Експертна лаборатория за комплексни имунологични анализи;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3. Учебен център с лекционната зала – аула и две помещения на четвъртия етаж</w:t>
      </w:r>
    </w:p>
    <w:p w:rsidR="007904A3" w:rsidRPr="007904A3" w:rsidRDefault="007904A3" w:rsidP="007904A3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7904A3">
        <w:rPr>
          <w:rFonts w:ascii="Calibri" w:eastAsia="Calibri" w:hAnsi="Calibri" w:cs="Calibr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>Гр. София, бул. "Генерал Столетов" № 44А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1. Лаборатория  за работа с вируси с ІІІ-то ниво на биологична защита;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2.Експертна лаборатория за молекулярно-генетичен анализ с целогеномно секвениране на микроорганизми;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3. Лаборатория за работа с особено опасни бактериални инфекции с ІІІ-то ниво на биологична защита;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4.Експертна лаборатория за електронна микроскопия и  морфологичен анализ;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5. Биологична банка </w:t>
      </w: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7904A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:rsidR="007904A3" w:rsidRPr="007904A3" w:rsidRDefault="007904A3" w:rsidP="007904A3">
      <w:pPr>
        <w:jc w:val="center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>1.ВЪВЕДЕНИЕ</w:t>
      </w: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>1.1. ЦЕЛИ НА ПРОЕКТА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Проектът цели изграждане и оборудване на уникален в своята област научно-изследователски комплекс-Център за компетентност, който да създаде условия за повишаване на качеството и да издигне на качествено ново ниво фундаменталните изследвания в областта на инфекциите и имунологията в България. В резултат на изпълнението на проекта се очаква резултатите от провежданите изследвания да се прилагат в медицинската практика за нуждите на медицинската диагностика, профилактика и лечение на заболяванията.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Изпълнението на проекта предвижда извършван</w:t>
      </w:r>
      <w:bookmarkStart w:id="0" w:name="_GoBack"/>
      <w:bookmarkEnd w:id="0"/>
      <w:r w:rsidRPr="007904A3">
        <w:rPr>
          <w:rFonts w:ascii="Calibri" w:hAnsi="Calibri" w:cs="Calibri"/>
          <w:sz w:val="22"/>
          <w:szCs w:val="22"/>
        </w:rPr>
        <w:t>е на строително-монтажни работи в помещения, предназначени за лаборатории, биологична банка и учебен център, находящи се в сградите на НЦЗПБ на бул. "Янко Сакъзов" № 26 и бул. "Генерал Столетов" № 44А, гр. София. Строително-монтажните работи следва да се извършват в съответствие с предоставени от НЦЗПБ инвестиционни проекти във фаза „Технически проект”, които ще предвиждат необходимите дейности по реконструкция и изграждане на функционално и териториално обособени звена на Центъра за компетентност. В резултат на изпълнението на строително-монтажните работи следва да се създадат условия за монтаж и въвеждане в експлоатация на специализирано и помощно лабораторно оборудване и обзавеждане.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След изпълнение на предвидените в инвестиционните проекти строително-монтажни работи помещенията трябва да бъдат в съответствие с основните изисквания към строежите, определени в приложение І на Регламент (ЕС) № 305/2011 на Европейския парламент и на Съвета от 9 март 2011 г. за определяне на хармонизирани условия за предлагането на пазара на строителни продукти и за отмяна на Директива 89/106/ЕИО на Съвета (ОВ, L 88/5 от 4 април 2011 г.) за: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1. механично съпротивление и устойчивост;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2. безопасност в случай на пожар;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3. хигиена, здраве и околна среда;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lastRenderedPageBreak/>
        <w:t>4. достъпност и безопасност при експлоатация;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5. защита от шум;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6. икономия на енергия и топлосъхранение;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7. устойчиво използване на природните ресурси.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Работната среда трябва да отговаря на изискванията за извършване на научно-изследователски и лабораторни дейности от НЦЗПБ.</w:t>
      </w:r>
    </w:p>
    <w:p w:rsidR="007904A3" w:rsidRPr="007904A3" w:rsidRDefault="007904A3" w:rsidP="007904A3">
      <w:pPr>
        <w:jc w:val="both"/>
        <w:rPr>
          <w:rFonts w:ascii="Calibri" w:hAnsi="Calibri" w:cs="Calibri"/>
          <w:strike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 </w:t>
      </w: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 xml:space="preserve">1.2. ТЕРИТОРИАЛЕН ОБХВАТ НА ПЛАНИРАНИТЕ СТРОИТЕЛНО-МОНТАЖНИ РАБОТИ 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За изграждане на Центъра за компетентност по проект „Фундаментални, транслиращи и клинични изследвания в областта на инфекциите и инфекциозната имунология” ще бъде възложено изпълнението на строително-монтажни работи за реконструкция и изграждане на няколко функционално и териториално обособени звена в сгради на НЦЗПБ, разположени на следните административни адреси: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>Административен адрес: бул. "Генерал Столетов" № 44А, гр. София –</w:t>
      </w:r>
      <w:r w:rsidRPr="007904A3">
        <w:rPr>
          <w:rFonts w:ascii="Calibri" w:hAnsi="Calibri" w:cs="Calibri"/>
          <w:sz w:val="22"/>
          <w:szCs w:val="22"/>
        </w:rPr>
        <w:t>УПИ І, кв.9, м. „ГГЦ-Зона В17”, ПИ с идентификатор 68134.512.297 по КК и КР на район „Сердика” гр.София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1. </w:t>
      </w:r>
      <w:r w:rsidRPr="007904A3">
        <w:rPr>
          <w:rFonts w:ascii="Calibri" w:hAnsi="Calibri" w:cs="Calibri"/>
          <w:b/>
          <w:sz w:val="22"/>
          <w:szCs w:val="22"/>
        </w:rPr>
        <w:t xml:space="preserve">Лаборатория  за работа с вируси с ІІІ-то ниво на биологична защита </w:t>
      </w:r>
      <w:r w:rsidRPr="007904A3">
        <w:rPr>
          <w:rFonts w:ascii="Calibri" w:hAnsi="Calibri" w:cs="Calibri"/>
          <w:sz w:val="22"/>
          <w:szCs w:val="22"/>
        </w:rPr>
        <w:t>(нова с промяна на предназначението), разположена в сграда с идентификатор 68134.512.297.1 на бул. "Генерал Столетов" № 44А, на първия етаж, в западното (перпендикулярно) крило;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2. </w:t>
      </w:r>
      <w:r w:rsidRPr="007904A3">
        <w:rPr>
          <w:rFonts w:ascii="Calibri" w:hAnsi="Calibri" w:cs="Calibri"/>
          <w:b/>
          <w:sz w:val="22"/>
          <w:szCs w:val="22"/>
        </w:rPr>
        <w:t xml:space="preserve">Експертна лаборатория за молекулярно-генетичен анализ с целогеномно секвениране на микроорганизми </w:t>
      </w:r>
      <w:r w:rsidRPr="007904A3">
        <w:rPr>
          <w:rFonts w:ascii="Calibri" w:hAnsi="Calibri" w:cs="Calibri"/>
          <w:sz w:val="22"/>
          <w:szCs w:val="22"/>
        </w:rPr>
        <w:t>(нова с промяна на предназначението), разположена в сграда с идентификатор 68134.512.297.1 на бул. "Генерал Столетов" № 44А, на първия етаж  в западната част на северното крило, успоредно на бул. „Генерал Столетов”;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3. </w:t>
      </w:r>
      <w:r w:rsidRPr="007904A3">
        <w:rPr>
          <w:rFonts w:ascii="Calibri" w:hAnsi="Calibri" w:cs="Calibri"/>
          <w:b/>
          <w:sz w:val="22"/>
          <w:szCs w:val="22"/>
        </w:rPr>
        <w:t>Лаборатория за работа с особено опасни бактериални инфекции с ІІІ-то ниво на биологична защита</w:t>
      </w:r>
      <w:r w:rsidRPr="007904A3">
        <w:rPr>
          <w:rFonts w:ascii="Calibri" w:hAnsi="Calibri" w:cs="Calibri"/>
          <w:sz w:val="22"/>
          <w:szCs w:val="22"/>
        </w:rPr>
        <w:t xml:space="preserve"> </w:t>
      </w:r>
      <w:r w:rsidRPr="007904A3">
        <w:rPr>
          <w:rFonts w:ascii="Calibri" w:hAnsi="Calibri" w:cs="Calibri"/>
          <w:sz w:val="22"/>
          <w:szCs w:val="22"/>
          <w:lang w:val="en-US"/>
        </w:rPr>
        <w:t>(</w:t>
      </w:r>
      <w:r w:rsidRPr="007904A3">
        <w:rPr>
          <w:rFonts w:ascii="Calibri" w:hAnsi="Calibri" w:cs="Calibri"/>
          <w:sz w:val="22"/>
          <w:szCs w:val="22"/>
        </w:rPr>
        <w:t>основен ремонт</w:t>
      </w:r>
      <w:r w:rsidRPr="007904A3">
        <w:rPr>
          <w:rFonts w:ascii="Calibri" w:hAnsi="Calibri" w:cs="Calibri"/>
          <w:sz w:val="22"/>
          <w:szCs w:val="22"/>
          <w:lang w:val="en-US"/>
        </w:rPr>
        <w:t>)</w:t>
      </w:r>
      <w:r w:rsidRPr="007904A3">
        <w:rPr>
          <w:rFonts w:ascii="Calibri" w:hAnsi="Calibri" w:cs="Calibri"/>
          <w:sz w:val="22"/>
          <w:szCs w:val="22"/>
        </w:rPr>
        <w:t>, разположена на първия етаж и в сутерена в сграда с идентификатор 68134.512.297.3 на  бул. "Генерал Столетов" № 44А;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4.</w:t>
      </w:r>
      <w:r w:rsidRPr="007904A3">
        <w:rPr>
          <w:rFonts w:ascii="Calibri" w:hAnsi="Calibri" w:cs="Calibri"/>
          <w:b/>
          <w:sz w:val="22"/>
          <w:szCs w:val="22"/>
        </w:rPr>
        <w:t>Експертна лаборатория за електронна микроскопия и морфологичен анализ (</w:t>
      </w:r>
      <w:r w:rsidRPr="007904A3">
        <w:rPr>
          <w:rFonts w:ascii="Calibri" w:hAnsi="Calibri" w:cs="Calibri"/>
          <w:sz w:val="22"/>
          <w:szCs w:val="22"/>
        </w:rPr>
        <w:t>основен ремонт</w:t>
      </w:r>
      <w:r w:rsidRPr="007904A3">
        <w:rPr>
          <w:rFonts w:ascii="Calibri" w:hAnsi="Calibri" w:cs="Calibri"/>
          <w:b/>
          <w:sz w:val="22"/>
          <w:szCs w:val="22"/>
        </w:rPr>
        <w:t xml:space="preserve">), </w:t>
      </w:r>
      <w:r w:rsidRPr="007904A3">
        <w:rPr>
          <w:rFonts w:ascii="Calibri" w:hAnsi="Calibri" w:cs="Calibri"/>
          <w:sz w:val="22"/>
          <w:szCs w:val="22"/>
        </w:rPr>
        <w:t>разположена в сграда с идентификатор 68134.512.297.1 на бул. "Генерал Столетов" № 44А, на първия етаж  в източната част на северното крило, успоредно на бул. „Генерал Столетов”;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5. </w:t>
      </w:r>
      <w:r w:rsidRPr="007904A3">
        <w:rPr>
          <w:rFonts w:ascii="Calibri" w:hAnsi="Calibri" w:cs="Calibri"/>
          <w:b/>
          <w:sz w:val="22"/>
          <w:szCs w:val="22"/>
        </w:rPr>
        <w:t xml:space="preserve">Биологична банка </w:t>
      </w:r>
      <w:r w:rsidRPr="007904A3">
        <w:rPr>
          <w:rFonts w:ascii="Calibri" w:hAnsi="Calibri" w:cs="Calibri"/>
          <w:sz w:val="22"/>
          <w:szCs w:val="22"/>
        </w:rPr>
        <w:t>(нова с промяна на предназначението</w:t>
      </w:r>
      <w:r w:rsidRPr="007904A3">
        <w:rPr>
          <w:rFonts w:ascii="Calibri" w:hAnsi="Calibri" w:cs="Calibri"/>
          <w:b/>
          <w:sz w:val="22"/>
          <w:szCs w:val="22"/>
        </w:rPr>
        <w:t>)</w:t>
      </w:r>
      <w:r w:rsidRPr="007904A3">
        <w:rPr>
          <w:rFonts w:ascii="Calibri" w:hAnsi="Calibri" w:cs="Calibri"/>
          <w:sz w:val="22"/>
          <w:szCs w:val="22"/>
        </w:rPr>
        <w:t>, разположена в сграда с идентификатор 68134.512.297.1 на  бул. "Генерал Столетов" № 44А на ниво сутерен в  източната част на северното крило.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 xml:space="preserve">Административен адрес: бул. "Янко Сакъзов" № 26, гр. София – УПИ ІХ, кв. 537 </w:t>
      </w:r>
      <w:r w:rsidRPr="007904A3">
        <w:rPr>
          <w:rFonts w:ascii="Calibri" w:hAnsi="Calibri" w:cs="Calibri"/>
          <w:sz w:val="22"/>
          <w:szCs w:val="22"/>
        </w:rPr>
        <w:t>ПИ с идентификатор 68134.407.28. в сграда с идентификатор 68134.407.28.1 по КК и КР на район „Оборище”, гр. София.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ab/>
        <w:t>Имотът попада в обхвата на територия с културно-историческо наследство със статут на групов паметник на културата „Жилищна зона „Докторски паметник”” (Ж-1), гр.28 със статут</w:t>
      </w:r>
      <w:r w:rsidRPr="007904A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904A3">
        <w:rPr>
          <w:rFonts w:ascii="Calibri" w:hAnsi="Calibri" w:cs="Calibri"/>
          <w:sz w:val="22"/>
          <w:szCs w:val="22"/>
        </w:rPr>
        <w:t>на групова недвижима културна ценност .</w:t>
      </w: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ab/>
        <w:t>Сградата е недвижим архитектурно-строителен паметник на културата с категория „местно значение” (ДВ. бр. 40 от 1978г.)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1.</w:t>
      </w:r>
      <w:r w:rsidRPr="007904A3">
        <w:rPr>
          <w:rFonts w:ascii="Calibri" w:hAnsi="Calibri" w:cs="Calibri"/>
          <w:b/>
          <w:sz w:val="22"/>
          <w:szCs w:val="22"/>
        </w:rPr>
        <w:t xml:space="preserve">Експертна лаборатория за молекулярногенетичен, спектометричен и протеомен анализ </w:t>
      </w:r>
      <w:r w:rsidRPr="007904A3">
        <w:rPr>
          <w:rFonts w:ascii="Calibri" w:hAnsi="Calibri" w:cs="Calibri"/>
          <w:sz w:val="22"/>
          <w:szCs w:val="22"/>
        </w:rPr>
        <w:t>(основен ремонт), разположена в централната сграда на НЦЗПБ бул. "Янко Сакъзов" № 26, на четвъртия етаж, западно от централното фоайе, успоредно на бул. „Янко Сакъзов”;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2.</w:t>
      </w:r>
      <w:r w:rsidRPr="007904A3">
        <w:rPr>
          <w:rFonts w:ascii="Calibri" w:hAnsi="Calibri" w:cs="Calibri"/>
          <w:b/>
          <w:sz w:val="22"/>
          <w:szCs w:val="22"/>
        </w:rPr>
        <w:t xml:space="preserve">Експертна лаборатория за комплексни имунологични анализи </w:t>
      </w:r>
      <w:r w:rsidRPr="007904A3">
        <w:rPr>
          <w:rFonts w:ascii="Calibri" w:hAnsi="Calibri" w:cs="Calibri"/>
          <w:sz w:val="22"/>
          <w:szCs w:val="22"/>
        </w:rPr>
        <w:t>(основен ремонт), разположена в централната сграда на НЦЗПБ бул. "Янко Сакъзов" № 26, на втория етаж, западно от централното фоайе, успоредно на бул. „Янко Сакъзов”;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3. </w:t>
      </w:r>
      <w:r w:rsidRPr="007904A3">
        <w:rPr>
          <w:rFonts w:ascii="Calibri" w:hAnsi="Calibri" w:cs="Calibri"/>
          <w:b/>
          <w:sz w:val="22"/>
          <w:szCs w:val="22"/>
        </w:rPr>
        <w:t>Учебен център</w:t>
      </w:r>
      <w:r w:rsidRPr="007904A3">
        <w:rPr>
          <w:rFonts w:ascii="Calibri" w:hAnsi="Calibri" w:cs="Calibri"/>
          <w:sz w:val="22"/>
          <w:szCs w:val="22"/>
        </w:rPr>
        <w:t xml:space="preserve">, разположен в централната сграда на НЦЗПБ бул. "Янко Сакъзов" № 26, </w:t>
      </w:r>
      <w:r w:rsidRPr="007904A3">
        <w:rPr>
          <w:rFonts w:ascii="Calibri" w:hAnsi="Calibri" w:cs="Calibri"/>
          <w:b/>
          <w:sz w:val="22"/>
          <w:szCs w:val="22"/>
        </w:rPr>
        <w:t>с лекционната зала – аула</w:t>
      </w:r>
      <w:r w:rsidRPr="007904A3">
        <w:rPr>
          <w:rFonts w:ascii="Calibri" w:hAnsi="Calibri" w:cs="Calibri"/>
          <w:sz w:val="22"/>
          <w:szCs w:val="22"/>
        </w:rPr>
        <w:t xml:space="preserve">, разположена на първия етаж срещу централното фоайе, както и </w:t>
      </w:r>
      <w:r w:rsidRPr="007904A3">
        <w:rPr>
          <w:rFonts w:ascii="Calibri" w:hAnsi="Calibri" w:cs="Calibri"/>
          <w:b/>
          <w:sz w:val="22"/>
          <w:szCs w:val="22"/>
        </w:rPr>
        <w:t xml:space="preserve">две помещения на </w:t>
      </w:r>
      <w:r w:rsidRPr="007904A3">
        <w:rPr>
          <w:rFonts w:ascii="Calibri" w:hAnsi="Calibri" w:cs="Calibri"/>
          <w:b/>
          <w:sz w:val="22"/>
          <w:szCs w:val="22"/>
        </w:rPr>
        <w:lastRenderedPageBreak/>
        <w:t>четвъртия етаж</w:t>
      </w:r>
      <w:r w:rsidRPr="007904A3">
        <w:rPr>
          <w:rFonts w:ascii="Calibri" w:hAnsi="Calibri" w:cs="Calibri"/>
          <w:sz w:val="22"/>
          <w:szCs w:val="22"/>
        </w:rPr>
        <w:t>, източно от централното фоайе, успоредно на бул. „Янко Сакъзов”, срещу стълбищната клетка.</w:t>
      </w:r>
    </w:p>
    <w:p w:rsidR="007904A3" w:rsidRPr="007904A3" w:rsidRDefault="007904A3" w:rsidP="007904A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color w:val="000000"/>
          <w:sz w:val="22"/>
          <w:szCs w:val="22"/>
        </w:rPr>
        <w:t>Обектите на Центъра за компетентност, разположени в сградата на НЦЗПБ на бул. „Янко Сакъзов”№26 са трета категория строеж, съгласно чл. 137, ал.1, т. 3, буква „в” от Закона за устройство на територията. Съгласно Приложение № 2 към Наредба № 1 от 2003 г. за номенклатурата на видовете строежи</w:t>
      </w:r>
      <w:r w:rsidRPr="007904A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904A3">
        <w:rPr>
          <w:rFonts w:ascii="Calibri" w:hAnsi="Calibri" w:cs="Calibri"/>
          <w:color w:val="000000"/>
          <w:sz w:val="22"/>
          <w:szCs w:val="22"/>
        </w:rPr>
        <w:t>в България, обектите са</w:t>
      </w:r>
      <w:r w:rsidRPr="007904A3">
        <w:rPr>
          <w:rFonts w:ascii="Calibri" w:hAnsi="Calibri" w:cs="Calibri"/>
          <w:sz w:val="22"/>
          <w:szCs w:val="22"/>
        </w:rPr>
        <w:t xml:space="preserve"> „сгради и съоръжения за постоянните научни звена” 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color w:val="000000"/>
          <w:sz w:val="22"/>
          <w:szCs w:val="22"/>
        </w:rPr>
        <w:t>Обектите на Центъра за компетентност, разположени в сградите на НЦЗПБ на бул. „Генерал Столетов” №44А в т.ч.</w:t>
      </w:r>
      <w:r w:rsidRPr="007904A3">
        <w:rPr>
          <w:rFonts w:ascii="Calibri" w:hAnsi="Calibri" w:cs="Calibri"/>
          <w:sz w:val="22"/>
          <w:szCs w:val="22"/>
        </w:rPr>
        <w:t xml:space="preserve"> лаборатории с трето ниво на биологична защита и биологична банка са от първа категория строежи, съгласно чл.137, ал.1, т.1, буква”г” и буква”е”.</w:t>
      </w:r>
    </w:p>
    <w:p w:rsidR="007904A3" w:rsidRPr="007904A3" w:rsidRDefault="007904A3" w:rsidP="007904A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>2. ОБЩИ ИЗИСКВАНИЯ И ЗАДАЧИ НА ИЗПЪЛНИТЕЛЯ</w:t>
      </w:r>
    </w:p>
    <w:p w:rsidR="007904A3" w:rsidRPr="007904A3" w:rsidRDefault="007904A3" w:rsidP="007904A3">
      <w:pPr>
        <w:jc w:val="both"/>
        <w:textAlignment w:val="center"/>
        <w:rPr>
          <w:rFonts w:ascii="Calibri" w:hAnsi="Calibri" w:cs="Calibri"/>
          <w:color w:val="000000"/>
          <w:sz w:val="22"/>
          <w:szCs w:val="22"/>
        </w:rPr>
      </w:pPr>
    </w:p>
    <w:p w:rsidR="007904A3" w:rsidRPr="007904A3" w:rsidRDefault="007904A3" w:rsidP="007904A3">
      <w:pPr>
        <w:jc w:val="both"/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7904A3">
        <w:rPr>
          <w:rFonts w:ascii="Calibri" w:hAnsi="Calibri" w:cs="Calibri"/>
          <w:color w:val="000000"/>
          <w:sz w:val="22"/>
          <w:szCs w:val="22"/>
        </w:rPr>
        <w:t>При изпълнение на обществената поръчка консултантът, който е определен за изпълнител, трябва да извърши следните дейности:</w:t>
      </w:r>
    </w:p>
    <w:p w:rsidR="007904A3" w:rsidRPr="007904A3" w:rsidRDefault="007904A3" w:rsidP="007904A3">
      <w:pPr>
        <w:jc w:val="both"/>
        <w:textAlignment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904A3">
        <w:rPr>
          <w:rFonts w:ascii="Calibri" w:hAnsi="Calibri" w:cs="Calibri"/>
          <w:b/>
          <w:bCs/>
          <w:color w:val="000000"/>
          <w:sz w:val="22"/>
          <w:szCs w:val="22"/>
        </w:rPr>
        <w:t xml:space="preserve">Дейност 1 – Оценка на съответствието на </w:t>
      </w:r>
      <w:r w:rsidRPr="007904A3">
        <w:rPr>
          <w:rFonts w:ascii="Calibri" w:hAnsi="Calibri" w:cs="Calibri"/>
          <w:b/>
          <w:sz w:val="22"/>
          <w:szCs w:val="22"/>
        </w:rPr>
        <w:t>инвестиционните проекти по чл.142, ал.5 от ЗУТ и съставяне на комплексни доклади по чл.142, ал.6, т.2 от ЗУТ, както следва: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Изпълнителят е длъжен да извърши оценка на съответствието на инвестиционните проекти във</w:t>
      </w:r>
      <w:r w:rsidRPr="007904A3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904A3">
        <w:rPr>
          <w:rFonts w:ascii="Calibri" w:hAnsi="Calibri" w:cs="Calibri"/>
          <w:sz w:val="22"/>
          <w:szCs w:val="22"/>
        </w:rPr>
        <w:t>фаза „технически проект” по чл.142, ал.5 от ЗУТ и да състави комплексни доклади по чл.142, ал.6, т.2 от ЗУТ по части: „Архитектурна”, „Конструктивна”, „Електроинсталации”, в т.ч. „Пожароизвестяване”, „Видеонаблюдение и контрол на достъпа”, „В и К инсталации”, „ОВК инсталации”,</w:t>
      </w:r>
      <w:r w:rsidRPr="007904A3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904A3">
        <w:rPr>
          <w:rFonts w:ascii="Calibri" w:hAnsi="Calibri" w:cs="Calibri"/>
          <w:sz w:val="22"/>
          <w:szCs w:val="22"/>
        </w:rPr>
        <w:t>„Технологична”, „Пожарна безопасност”, „Геодезия”, „Сметни документации”,  и други, които са необходими за пълното окомплектоване на инвестиционните проекти във фаза „технически проект” и за получаване на Разрешение за строеж.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Изпълнителят е длъжен да извърши оценка на съответствието на инвестиционните проекти, като извърши следните дейности: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-Проверка за съответствие на проектите с предвижданията на подробния устройствен план;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-Проверка за съответствие на проектите с правилата и нормативите за устройство на територията;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-Проверка за съответствие на проектите с основните изисквания към строежите, определени в приложение І на </w:t>
      </w:r>
      <w:hyperlink r:id="rId9" w:tgtFrame="_self" w:history="1">
        <w:r w:rsidRPr="007904A3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Регламент (ЕС) № 305/2011</w:t>
        </w:r>
      </w:hyperlink>
      <w:r w:rsidRPr="007904A3">
        <w:rPr>
          <w:rFonts w:ascii="Calibri" w:hAnsi="Calibri" w:cs="Calibri"/>
          <w:sz w:val="22"/>
          <w:szCs w:val="22"/>
        </w:rPr>
        <w:t xml:space="preserve"> на Европейския парламент и на Съвета от 9 март 2011г. за определяне на хармонизирани условия за предлагането на пазара на строителни продукти и за отмяна на Директива 89/106/ЕИО на Съвета (ОВ, L 88/5 от 4 април 2011 г.) /чл.169, ал.1 на ЗУТ/,  за:</w:t>
      </w:r>
    </w:p>
    <w:p w:rsidR="007904A3" w:rsidRPr="007904A3" w:rsidRDefault="007904A3" w:rsidP="007904A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а) механично съпротивление и устойчивост;</w:t>
      </w:r>
    </w:p>
    <w:p w:rsidR="007904A3" w:rsidRPr="007904A3" w:rsidRDefault="007904A3" w:rsidP="007904A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б) безопасност в случай на пожар;</w:t>
      </w:r>
    </w:p>
    <w:p w:rsidR="007904A3" w:rsidRPr="007904A3" w:rsidRDefault="007904A3" w:rsidP="007904A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в) хигиена, здраве и околна среда;</w:t>
      </w:r>
    </w:p>
    <w:p w:rsidR="007904A3" w:rsidRPr="007904A3" w:rsidRDefault="007904A3" w:rsidP="007904A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г) достъпност и безопасност при експлоатация;</w:t>
      </w:r>
    </w:p>
    <w:p w:rsidR="007904A3" w:rsidRPr="007904A3" w:rsidRDefault="007904A3" w:rsidP="007904A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д) защита от шум;</w:t>
      </w:r>
    </w:p>
    <w:p w:rsidR="007904A3" w:rsidRPr="007904A3" w:rsidRDefault="007904A3" w:rsidP="007904A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е) икономия на енергия и топлосъхранение;</w:t>
      </w:r>
    </w:p>
    <w:p w:rsidR="007904A3" w:rsidRPr="007904A3" w:rsidRDefault="007904A3" w:rsidP="007904A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ж) устойчиво използване на природните ресурси;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Проверка за съответствие на проекта с изискванията на нормативните актове за:</w:t>
      </w:r>
    </w:p>
    <w:p w:rsidR="007904A3" w:rsidRPr="007904A3" w:rsidRDefault="007904A3" w:rsidP="007904A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а) опазване на защитените зони, на защитените територии и на другите защитени обекти и на недвижимите културни ценности;</w:t>
      </w:r>
    </w:p>
    <w:p w:rsidR="007904A3" w:rsidRPr="007904A3" w:rsidRDefault="007904A3" w:rsidP="007904A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б) намаляване на риска от бедствия;</w:t>
      </w:r>
    </w:p>
    <w:p w:rsidR="007904A3" w:rsidRPr="007904A3" w:rsidRDefault="007904A3" w:rsidP="007904A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в) физическа защита на строежите.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Проверка за взаимна съгласуваност между частите на проекта;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Проверка за пълнота и структурно съответствие на инженерните изчисления;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-Проверка за съответствие на проектите с изискванията за устройство, безопасна експлоатация и технически надзор на съоръженията с повишена опасност, ако в обекта има такива;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lastRenderedPageBreak/>
        <w:t>-Проверка за съответствие на проектите със специфичните изисквания към определени видове строежи съгласно нормативен акт, ако за обекта има такива.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-Проверка за съответствие на проектите с изискванията на влезли в сила административни актове, които в зависимост от вида и големината на строежа са необходимо условие за разрешаване на строителството по </w:t>
      </w:r>
      <w:hyperlink r:id="rId10" w:tgtFrame="_self" w:history="1">
        <w:r w:rsidRPr="007904A3">
          <w:rPr>
            <w:rFonts w:ascii="Calibri" w:hAnsi="Calibri" w:cs="Calibri"/>
            <w:sz w:val="22"/>
            <w:szCs w:val="22"/>
          </w:rPr>
          <w:t>Закона за опазване на околната среда</w:t>
        </w:r>
      </w:hyperlink>
      <w:r w:rsidRPr="007904A3">
        <w:rPr>
          <w:rFonts w:ascii="Calibri" w:hAnsi="Calibri" w:cs="Calibri"/>
          <w:sz w:val="22"/>
          <w:szCs w:val="22"/>
        </w:rPr>
        <w:t xml:space="preserve">, </w:t>
      </w:r>
      <w:hyperlink r:id="rId11" w:tgtFrame="_self" w:history="1">
        <w:r w:rsidRPr="007904A3">
          <w:rPr>
            <w:rFonts w:ascii="Calibri" w:hAnsi="Calibri" w:cs="Calibri"/>
            <w:sz w:val="22"/>
            <w:szCs w:val="22"/>
          </w:rPr>
          <w:t>Закона за биологичното разнообразие</w:t>
        </w:r>
      </w:hyperlink>
      <w:r w:rsidRPr="007904A3">
        <w:rPr>
          <w:rFonts w:ascii="Calibri" w:hAnsi="Calibri" w:cs="Calibri"/>
          <w:sz w:val="22"/>
          <w:szCs w:val="22"/>
        </w:rPr>
        <w:t xml:space="preserve">, </w:t>
      </w:r>
      <w:hyperlink r:id="rId12" w:tgtFrame="_self" w:history="1">
        <w:r w:rsidRPr="007904A3">
          <w:rPr>
            <w:rFonts w:ascii="Calibri" w:hAnsi="Calibri" w:cs="Calibri"/>
            <w:sz w:val="22"/>
            <w:szCs w:val="22"/>
          </w:rPr>
          <w:t>Закона за културното наследство</w:t>
        </w:r>
      </w:hyperlink>
      <w:r w:rsidRPr="007904A3">
        <w:rPr>
          <w:rFonts w:ascii="Calibri" w:hAnsi="Calibri" w:cs="Calibri"/>
          <w:sz w:val="22"/>
          <w:szCs w:val="22"/>
        </w:rPr>
        <w:t xml:space="preserve"> или друг специален закон, както и отразяване на мерките и условията от тези актове в проекта;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-Проверка за съответствие на проектите с изискванията за предотвратяване на големи аварии с опасни вещества и ограничаване на последствията от тях за човешкото здраве и околната среда по </w:t>
      </w:r>
      <w:hyperlink r:id="rId13" w:tgtFrame="_self" w:history="1">
        <w:r w:rsidRPr="007904A3">
          <w:rPr>
            <w:rFonts w:ascii="Calibri" w:hAnsi="Calibri" w:cs="Calibri"/>
            <w:sz w:val="22"/>
            <w:szCs w:val="22"/>
          </w:rPr>
          <w:t>глава седма, раздел I</w:t>
        </w:r>
      </w:hyperlink>
      <w:r w:rsidRPr="007904A3">
        <w:rPr>
          <w:rFonts w:ascii="Calibri" w:hAnsi="Calibri" w:cs="Calibri"/>
          <w:sz w:val="22"/>
          <w:szCs w:val="22"/>
        </w:rPr>
        <w:t xml:space="preserve"> от Закона за опазване на околната среда.</w:t>
      </w:r>
    </w:p>
    <w:p w:rsidR="007904A3" w:rsidRPr="007904A3" w:rsidRDefault="007904A3" w:rsidP="007904A3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ab/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Изпълнителят е задължен да се запознае предварително с работата по изработването на инвестиционните проекти и да оказва при необходимост съдействие на възложителя.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Изпълнителят е длъжен при откриване на допуснати грешки и/или непълноти в отделните части на инвестиционните проекти, и/или когато не са спазени изискванията на нормативните актове по проектиране и строителство да изисква от проектантите да ги отстранят за своя сметка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Изпълнителят е длъжен да информира Възложителя, че отказва подписването на проектната документация (или отделни части от нея) в случай, че констатира некачествено или незаконосъобразно изпълнение на проекта.</w:t>
      </w:r>
    </w:p>
    <w:p w:rsidR="007904A3" w:rsidRPr="007904A3" w:rsidRDefault="007904A3" w:rsidP="007904A3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Изпълнителят е длъжен при</w:t>
      </w:r>
      <w:r w:rsidRPr="007904A3">
        <w:rPr>
          <w:rFonts w:ascii="Calibri" w:hAnsi="Calibri" w:cs="Calibri"/>
          <w:b/>
          <w:sz w:val="22"/>
          <w:szCs w:val="22"/>
        </w:rPr>
        <w:t xml:space="preserve"> </w:t>
      </w:r>
      <w:r w:rsidRPr="007904A3">
        <w:rPr>
          <w:rFonts w:ascii="Calibri" w:hAnsi="Calibri" w:cs="Calibri"/>
          <w:sz w:val="22"/>
          <w:szCs w:val="22"/>
        </w:rPr>
        <w:t>извършване на оценката за съответствие на проектите със съществените изисквания към строежите да подписва и подпечатва всички проектни части  и да изготви комплексен доклад. Същият трябва да бъде представен в 3 оригинални екземпляра на хартиен носител и в 2 екземпляра на електронен носител заедно със всички придружаващи го приложения.</w:t>
      </w:r>
    </w:p>
    <w:p w:rsidR="007904A3" w:rsidRPr="007904A3" w:rsidRDefault="007904A3" w:rsidP="007904A3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Всички графични и текстови документи по отделните части на инвестиционните проекти се подписват от съответния квалифициран специалист, проверил проектната част и от управителя на регистрината фирма - консултант. Докладът за оценка на съответствието се подписва от всички квалифицирани специалисти, извършили оценката и от управителя на регистрирата фирма - консултант.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Изпълнителят трябва да съдейства на Възложителя за съгласуване на инвестиционните проекти с необходимите институции и компетентни органи, експлоатационни дружества и др. преди да представи Комплексните доклади за оценка на съответствието по чл. 169 ал. 1 т.6 ЗУТ.</w:t>
      </w:r>
    </w:p>
    <w:p w:rsidR="007904A3" w:rsidRPr="007904A3" w:rsidRDefault="007904A3" w:rsidP="007904A3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ab/>
      </w:r>
      <w:r w:rsidRPr="007904A3">
        <w:rPr>
          <w:rFonts w:ascii="Calibri" w:hAnsi="Calibri" w:cs="Calibri"/>
          <w:sz w:val="22"/>
          <w:szCs w:val="22"/>
        </w:rPr>
        <w:tab/>
      </w: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>Получаване на разрешения за строеж</w:t>
      </w:r>
    </w:p>
    <w:p w:rsidR="007904A3" w:rsidRPr="007904A3" w:rsidRDefault="007904A3" w:rsidP="007904A3">
      <w:pPr>
        <w:jc w:val="both"/>
        <w:rPr>
          <w:rFonts w:ascii="Calibri" w:hAnsi="Calibri" w:cs="Calibri"/>
          <w:strike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Изпълнителят е длъжен да внесе в общинската администрация Докладите за оценка на съответствието и проектната документация за получаване на разрешения за строеж. За тази цел на Изпълнителя ще бъдат предоставени необходимите документи. </w:t>
      </w:r>
    </w:p>
    <w:p w:rsidR="007904A3" w:rsidRPr="007904A3" w:rsidRDefault="007904A3" w:rsidP="007904A3">
      <w:pPr>
        <w:ind w:firstLine="709"/>
        <w:jc w:val="both"/>
        <w:rPr>
          <w:rFonts w:ascii="Calibri" w:hAnsi="Calibri" w:cs="Calibri"/>
          <w:b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>Дейност 2 - Упражняване на независим строителен надзор и получаване на разрешения за ползване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Изпълнителят трябва да упражнява независим строителен надзор по време на изпълнението на строително-монтажните работи до окончателното завършване на строежите и да съдейства на Възложителя за получаване на Разрешения за ползване.</w:t>
      </w:r>
      <w:r w:rsidRPr="007904A3">
        <w:rPr>
          <w:rFonts w:ascii="Calibri" w:hAnsi="Calibri" w:cs="Calibri"/>
          <w:sz w:val="22"/>
          <w:szCs w:val="22"/>
        </w:rPr>
        <w:tab/>
      </w:r>
    </w:p>
    <w:p w:rsidR="007904A3" w:rsidRPr="007904A3" w:rsidRDefault="007904A3" w:rsidP="007904A3">
      <w:pPr>
        <w:widowControl w:val="0"/>
        <w:tabs>
          <w:tab w:val="left" w:pos="426"/>
          <w:tab w:val="left" w:pos="122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bCs/>
          <w:sz w:val="22"/>
          <w:szCs w:val="22"/>
          <w:lang w:bidi="bg-BG"/>
        </w:rPr>
        <w:t xml:space="preserve">Изпълнителят трябва да осъществява координация и контрол на строителния процес и упражняване на строителен надзор </w:t>
      </w:r>
      <w:r w:rsidRPr="007904A3">
        <w:rPr>
          <w:rFonts w:ascii="Calibri" w:hAnsi="Calibri" w:cs="Calibri"/>
          <w:sz w:val="22"/>
          <w:szCs w:val="22"/>
        </w:rPr>
        <w:t>съгласно изискванията на чл. 166 и сл. от ЗУТ по време на строителството, така че да се гарантира изпълнението на всички строително-монтажни работи в съответствие с одобрените инвестиционни проекти с изискванията на българското законодателство и на Възложителя.</w:t>
      </w:r>
    </w:p>
    <w:p w:rsidR="007904A3" w:rsidRPr="007904A3" w:rsidRDefault="007904A3" w:rsidP="007904A3">
      <w:pPr>
        <w:widowControl w:val="0"/>
        <w:tabs>
          <w:tab w:val="left" w:pos="426"/>
          <w:tab w:val="left" w:pos="1220"/>
        </w:tabs>
        <w:jc w:val="right"/>
        <w:rPr>
          <w:rFonts w:ascii="Calibri" w:hAnsi="Calibri" w:cs="Calibri"/>
          <w:bCs/>
          <w:iCs/>
          <w:sz w:val="22"/>
          <w:szCs w:val="22"/>
        </w:rPr>
      </w:pPr>
    </w:p>
    <w:p w:rsidR="007904A3" w:rsidRPr="007904A3" w:rsidRDefault="007904A3" w:rsidP="007904A3">
      <w:pPr>
        <w:widowControl w:val="0"/>
        <w:tabs>
          <w:tab w:val="left" w:pos="426"/>
          <w:tab w:val="left" w:pos="1220"/>
        </w:tabs>
        <w:jc w:val="both"/>
        <w:rPr>
          <w:rFonts w:ascii="Calibri" w:hAnsi="Calibri" w:cs="Calibri"/>
          <w:bCs/>
          <w:iCs/>
          <w:sz w:val="22"/>
          <w:szCs w:val="22"/>
        </w:rPr>
      </w:pPr>
      <w:r w:rsidRPr="007904A3">
        <w:rPr>
          <w:rFonts w:ascii="Calibri" w:hAnsi="Calibri" w:cs="Calibri"/>
          <w:bCs/>
          <w:iCs/>
          <w:sz w:val="22"/>
          <w:szCs w:val="22"/>
        </w:rPr>
        <w:t xml:space="preserve">Изпълнителят е длъжен: </w:t>
      </w:r>
    </w:p>
    <w:p w:rsidR="007904A3" w:rsidRPr="007904A3" w:rsidRDefault="007904A3" w:rsidP="007904A3">
      <w:pPr>
        <w:widowControl w:val="0"/>
        <w:numPr>
          <w:ilvl w:val="0"/>
          <w:numId w:val="1"/>
        </w:numPr>
        <w:tabs>
          <w:tab w:val="left" w:pos="360"/>
          <w:tab w:val="left" w:pos="1220"/>
        </w:tabs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 w:rsidRPr="007904A3">
        <w:rPr>
          <w:rFonts w:ascii="Calibri" w:hAnsi="Calibri" w:cs="Calibri"/>
          <w:bCs/>
          <w:iCs/>
          <w:sz w:val="22"/>
          <w:szCs w:val="22"/>
        </w:rPr>
        <w:t xml:space="preserve">Да извършва проверка на съответствието на доставяните на обектите материали и оборудване свързани с изпълнението на </w:t>
      </w:r>
      <w:r w:rsidRPr="007904A3">
        <w:rPr>
          <w:rFonts w:ascii="Calibri" w:hAnsi="Calibri" w:cs="Calibri"/>
          <w:iCs/>
          <w:sz w:val="22"/>
          <w:szCs w:val="22"/>
          <w:shd w:val="clear" w:color="auto" w:fill="FFFFFF"/>
          <w:lang w:bidi="bg-BG"/>
        </w:rPr>
        <w:t xml:space="preserve">СМР, </w:t>
      </w:r>
      <w:r w:rsidRPr="007904A3">
        <w:rPr>
          <w:rFonts w:ascii="Calibri" w:hAnsi="Calibri" w:cs="Calibri"/>
          <w:bCs/>
          <w:iCs/>
          <w:sz w:val="22"/>
          <w:szCs w:val="22"/>
        </w:rPr>
        <w:t xml:space="preserve">с одобрените технически спесификации и </w:t>
      </w:r>
      <w:r w:rsidRPr="007904A3">
        <w:rPr>
          <w:rFonts w:ascii="Calibri" w:hAnsi="Calibri" w:cs="Calibri"/>
          <w:iCs/>
          <w:sz w:val="22"/>
          <w:szCs w:val="22"/>
          <w:shd w:val="clear" w:color="auto" w:fill="FFFFFF"/>
          <w:lang w:bidi="bg-BG"/>
        </w:rPr>
        <w:t xml:space="preserve">за съответствието им </w:t>
      </w:r>
      <w:r w:rsidRPr="007904A3">
        <w:rPr>
          <w:rFonts w:ascii="Calibri" w:hAnsi="Calibri" w:cs="Calibri"/>
          <w:bCs/>
          <w:iCs/>
          <w:sz w:val="22"/>
          <w:szCs w:val="22"/>
        </w:rPr>
        <w:t xml:space="preserve">с </w:t>
      </w:r>
      <w:r w:rsidRPr="007904A3">
        <w:rPr>
          <w:rFonts w:ascii="Calibri" w:hAnsi="Calibri" w:cs="Calibri"/>
          <w:iCs/>
          <w:sz w:val="22"/>
          <w:szCs w:val="22"/>
          <w:shd w:val="clear" w:color="auto" w:fill="FFFFFF"/>
          <w:lang w:bidi="bg-BG"/>
        </w:rPr>
        <w:t>нормативните изисквания и разрешаване влагането им в строежите;</w:t>
      </w:r>
    </w:p>
    <w:p w:rsidR="007904A3" w:rsidRPr="007904A3" w:rsidRDefault="007904A3" w:rsidP="007904A3">
      <w:pPr>
        <w:widowControl w:val="0"/>
        <w:numPr>
          <w:ilvl w:val="0"/>
          <w:numId w:val="1"/>
        </w:numPr>
        <w:tabs>
          <w:tab w:val="left" w:pos="142"/>
          <w:tab w:val="left" w:pos="360"/>
          <w:tab w:val="left" w:pos="1224"/>
        </w:tabs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 w:rsidRPr="007904A3">
        <w:rPr>
          <w:rFonts w:ascii="Calibri" w:hAnsi="Calibri" w:cs="Calibri"/>
          <w:bCs/>
          <w:iCs/>
          <w:sz w:val="22"/>
          <w:szCs w:val="22"/>
        </w:rPr>
        <w:t xml:space="preserve">    Да извършва контрол, отчетност и текущо приемане на строително-монтажните работи </w:t>
      </w:r>
      <w:r w:rsidRPr="007904A3">
        <w:rPr>
          <w:rFonts w:ascii="Calibri" w:hAnsi="Calibri" w:cs="Calibri"/>
          <w:sz w:val="22"/>
          <w:szCs w:val="22"/>
        </w:rPr>
        <w:t xml:space="preserve">в съответствие с </w:t>
      </w:r>
      <w:r w:rsidRPr="007904A3">
        <w:rPr>
          <w:rFonts w:ascii="Calibri" w:hAnsi="Calibri" w:cs="Calibri"/>
          <w:sz w:val="22"/>
          <w:szCs w:val="22"/>
        </w:rPr>
        <w:lastRenderedPageBreak/>
        <w:t>одобрените проекти и да  оформя  всички актове и протоколи, съгласно Закона за устройство на територията и Наредба № 3/2003 г. за съставяне на актове и протоколи по време на строителството;</w:t>
      </w:r>
    </w:p>
    <w:p w:rsidR="007904A3" w:rsidRPr="007904A3" w:rsidRDefault="007904A3" w:rsidP="007904A3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1304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bCs/>
          <w:sz w:val="22"/>
          <w:szCs w:val="22"/>
          <w:lang w:bidi="bg-BG"/>
        </w:rPr>
        <w:t xml:space="preserve">  Да извършва контрол на дейностите по безопасност и здраве по време на строителството, </w:t>
      </w:r>
      <w:r w:rsidRPr="007904A3">
        <w:rPr>
          <w:rFonts w:ascii="Calibri" w:hAnsi="Calibri" w:cs="Calibri"/>
          <w:sz w:val="22"/>
          <w:szCs w:val="22"/>
        </w:rPr>
        <w:t>предвиден в чл. 11 от Наредба № 2/2004 г. за минималните изисквания за здравословни и безопасни условия на труд при извършване на строителни и монтажни работи;</w:t>
      </w:r>
    </w:p>
    <w:p w:rsidR="007904A3" w:rsidRPr="007904A3" w:rsidRDefault="007904A3" w:rsidP="007904A3">
      <w:pPr>
        <w:widowControl w:val="0"/>
        <w:numPr>
          <w:ilvl w:val="0"/>
          <w:numId w:val="1"/>
        </w:numPr>
        <w:tabs>
          <w:tab w:val="left" w:pos="360"/>
          <w:tab w:val="left" w:pos="1190"/>
        </w:tabs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 w:rsidRPr="007904A3">
        <w:rPr>
          <w:rFonts w:ascii="Calibri" w:hAnsi="Calibri" w:cs="Calibri"/>
          <w:bCs/>
          <w:iCs/>
          <w:sz w:val="22"/>
          <w:szCs w:val="22"/>
        </w:rPr>
        <w:t>Да извършва контрол на дейностите по пожарна безопасност на обектите и по опазване на околната среда;</w:t>
      </w:r>
    </w:p>
    <w:p w:rsidR="007904A3" w:rsidRPr="007904A3" w:rsidRDefault="007904A3" w:rsidP="007904A3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1202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bCs/>
          <w:sz w:val="22"/>
          <w:szCs w:val="22"/>
          <w:lang w:bidi="bg-BG"/>
        </w:rPr>
        <w:t xml:space="preserve">  Да осигури издаването на всички документи </w:t>
      </w:r>
      <w:r w:rsidRPr="007904A3">
        <w:rPr>
          <w:rFonts w:ascii="Calibri" w:hAnsi="Calibri" w:cs="Calibri"/>
          <w:sz w:val="22"/>
          <w:szCs w:val="22"/>
        </w:rPr>
        <w:t>в съответствие с действащото българско законодателство по време на строителството и въвеждането на обектите в експлоатация и да организира предаването им на Възложителя, съгласно приложимте нормативни изисквания.</w:t>
      </w:r>
    </w:p>
    <w:p w:rsidR="007904A3" w:rsidRPr="007904A3" w:rsidRDefault="007904A3" w:rsidP="007904A3">
      <w:pPr>
        <w:widowControl w:val="0"/>
        <w:tabs>
          <w:tab w:val="left" w:pos="1396"/>
        </w:tabs>
        <w:ind w:firstLine="709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ab/>
      </w:r>
    </w:p>
    <w:p w:rsidR="007904A3" w:rsidRPr="007904A3" w:rsidRDefault="007904A3" w:rsidP="007904A3">
      <w:pPr>
        <w:widowControl w:val="0"/>
        <w:tabs>
          <w:tab w:val="left" w:pos="1396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Лицето, упражняващо строителен надзор, носи отговорност за:</w:t>
      </w:r>
    </w:p>
    <w:p w:rsidR="007904A3" w:rsidRPr="007904A3" w:rsidRDefault="007904A3" w:rsidP="007904A3">
      <w:pPr>
        <w:widowControl w:val="0"/>
        <w:tabs>
          <w:tab w:val="left" w:pos="1396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Законосъобразно започване на строителството съгласно чл. 157 на ЗУТ, за подготовка и регистриране на заповедните книги;</w:t>
      </w:r>
    </w:p>
    <w:p w:rsidR="007904A3" w:rsidRPr="007904A3" w:rsidRDefault="007904A3" w:rsidP="007904A3">
      <w:pPr>
        <w:widowControl w:val="0"/>
        <w:tabs>
          <w:tab w:val="left" w:pos="908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Осъществяване на контрол относно пълнотата и правилното съставяне на актовете и протоколите по време на строителството, съгласно ЗУТ и Наредба № 3 за съставяне на актове и протоколи по време на строителството;</w:t>
      </w:r>
    </w:p>
    <w:p w:rsidR="007904A3" w:rsidRPr="007904A3" w:rsidRDefault="007904A3" w:rsidP="007904A3">
      <w:pPr>
        <w:widowControl w:val="0"/>
        <w:tabs>
          <w:tab w:val="left" w:pos="902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Осъществяване на контрол по спазването на изискванията на одобрените инвестиционни проекти  и технически спецификации в съответствие с чл. 169 на ЗУТ;</w:t>
      </w:r>
    </w:p>
    <w:p w:rsidR="007904A3" w:rsidRPr="007904A3" w:rsidRDefault="007904A3" w:rsidP="007904A3">
      <w:pPr>
        <w:widowControl w:val="0"/>
        <w:tabs>
          <w:tab w:val="left" w:pos="92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Спиране на строежите, когато същите се извършват в хипотезите на чл. 224, ал. 1 и чл. 225, ал. 2 от ЗУТ, и в нарушение на изискванията на чл. 169, ал. 1 и 3 от ЗУТ;</w:t>
      </w:r>
    </w:p>
    <w:p w:rsidR="007904A3" w:rsidRPr="007904A3" w:rsidRDefault="007904A3" w:rsidP="007904A3">
      <w:pPr>
        <w:widowControl w:val="0"/>
        <w:tabs>
          <w:tab w:val="left" w:pos="92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Осъществяване на контрол относно спазване на изискванията за здравословни и безопасни условия на труд в строителството;</w:t>
      </w:r>
    </w:p>
    <w:p w:rsidR="007904A3" w:rsidRPr="007904A3" w:rsidRDefault="007904A3" w:rsidP="007904A3">
      <w:pPr>
        <w:widowControl w:val="0"/>
        <w:tabs>
          <w:tab w:val="left" w:pos="92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Недопускане увреждане на трети лица, имоти и имущество при строителството;</w:t>
      </w:r>
    </w:p>
    <w:p w:rsidR="007904A3" w:rsidRPr="007904A3" w:rsidRDefault="007904A3" w:rsidP="007904A3">
      <w:pPr>
        <w:widowControl w:val="0"/>
        <w:tabs>
          <w:tab w:val="left" w:pos="153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Извършване на проверка и контрол по чл. 169б от ЗУТ на доставените и влагани в строежите строителни продукти, с които се осигурява изпълнението на обекта в съответствие с изискванията на Наредба № РД-02-20-1/05.02.2015 г. за условията и реда за влагане на строителни продукти в строежите на Република България;</w:t>
      </w:r>
    </w:p>
    <w:p w:rsidR="007904A3" w:rsidRPr="007904A3" w:rsidRDefault="007904A3" w:rsidP="007904A3">
      <w:pPr>
        <w:widowControl w:val="0"/>
        <w:tabs>
          <w:tab w:val="left" w:pos="153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Упражняване на строителен надзор  на строежите, чрез екип от правоспособни физически лица с доказан професионален опит и технически компетентности, необходими за осъществяване на дейностите за оценяване съответствието на проектите и за упражняване на строителен надзор;</w:t>
      </w:r>
    </w:p>
    <w:p w:rsidR="007904A3" w:rsidRPr="007904A3" w:rsidRDefault="007904A3" w:rsidP="007904A3">
      <w:pPr>
        <w:widowControl w:val="0"/>
        <w:tabs>
          <w:tab w:val="left" w:pos="99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 - Подписване на всички актове и протоколи по време на строителството, необходими за оценка на строежа, относно изискванията за безопасност и за законосъобразно изпълнение, съгласно ЗУТ и Наредба № 3 за актовете и протоколите, съставяни по време на строителството;</w:t>
      </w:r>
    </w:p>
    <w:p w:rsidR="007904A3" w:rsidRPr="007904A3" w:rsidRDefault="007904A3" w:rsidP="007904A3">
      <w:pPr>
        <w:widowControl w:val="0"/>
        <w:tabs>
          <w:tab w:val="left" w:pos="153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Контрол на мерките за енергийна ефективност при реализация на проектите в съответствие със Закона за енергийната ефективност и наредбите към него;</w:t>
      </w:r>
    </w:p>
    <w:p w:rsidR="007904A3" w:rsidRPr="007904A3" w:rsidRDefault="007904A3" w:rsidP="007904A3">
      <w:pPr>
        <w:widowControl w:val="0"/>
        <w:tabs>
          <w:tab w:val="left" w:pos="153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Контрол по опазване на околната среда и управлението на отпадъците в съответствие със Закона за опазване на околната среда и Закона за управление на отпадъците и наредбите към тях;</w:t>
      </w:r>
    </w:p>
    <w:p w:rsidR="007904A3" w:rsidRPr="007904A3" w:rsidRDefault="007904A3" w:rsidP="007904A3">
      <w:pPr>
        <w:widowControl w:val="0"/>
        <w:tabs>
          <w:tab w:val="left" w:pos="1530"/>
        </w:tabs>
        <w:jc w:val="both"/>
        <w:rPr>
          <w:rFonts w:ascii="Calibri" w:eastAsia="Georgia" w:hAnsi="Calibri" w:cs="Calibri"/>
          <w:b/>
          <w:bCs/>
          <w:iCs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При нарушаване на техническите правила и нормативи лицето, упражняващо строителен надзор, е длъжно да уведоми Регионалната дирекция за Национален строителен контрол (РД НСК) в 3-дневен срок от установяване на нарушението;</w:t>
      </w:r>
    </w:p>
    <w:p w:rsidR="007904A3" w:rsidRPr="007904A3" w:rsidRDefault="007904A3" w:rsidP="007904A3">
      <w:pPr>
        <w:widowControl w:val="0"/>
        <w:tabs>
          <w:tab w:val="left" w:pos="1491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Проверка и подписване съвместно с изпълнителя/изпълнителите по договора за  строителство на изготвената екзекутивна документация за всеки обект и нейното представяне на съответните органи съгласно чл. 175 от ЗУТ;</w:t>
      </w:r>
    </w:p>
    <w:p w:rsidR="007904A3" w:rsidRPr="007904A3" w:rsidRDefault="007904A3" w:rsidP="007904A3">
      <w:pPr>
        <w:widowControl w:val="0"/>
        <w:tabs>
          <w:tab w:val="left" w:pos="1491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Съставяне съвместно с Възложителя и Строителя на констативни актове за обекта, след извършване на СМР, удостоверяващи, че строежите са изпълнени съобразно одобрените проекти, заверената екзекутивна документация, изискванията към строежите и условията на сключения договор за строителство ;</w:t>
      </w:r>
    </w:p>
    <w:p w:rsidR="007904A3" w:rsidRPr="007904A3" w:rsidRDefault="007904A3" w:rsidP="007904A3">
      <w:pPr>
        <w:widowControl w:val="0"/>
        <w:tabs>
          <w:tab w:val="left" w:pos="1479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Участие в проверки, проби и изпитвания и всички необходими дейности за издаване Разрешения за ползване;</w:t>
      </w:r>
    </w:p>
    <w:p w:rsidR="007904A3" w:rsidRPr="007904A3" w:rsidRDefault="007904A3" w:rsidP="007904A3">
      <w:pPr>
        <w:widowControl w:val="0"/>
        <w:tabs>
          <w:tab w:val="left" w:pos="1479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- Осъществяване на контрол по изпълнение на задълженията на Координатора по безопасност и здраве за </w:t>
      </w:r>
      <w:r w:rsidRPr="007904A3">
        <w:rPr>
          <w:rFonts w:ascii="Calibri" w:hAnsi="Calibri" w:cs="Calibri"/>
          <w:sz w:val="22"/>
          <w:szCs w:val="22"/>
        </w:rPr>
        <w:lastRenderedPageBreak/>
        <w:t>етапа на строителство, съгласно чл. 5, ал. 3 от Наредба № 2/2004 г. за минимални изисквания за здравословни и безопасни условия на труд при извършване на строителни и монтажни работи;.</w:t>
      </w:r>
    </w:p>
    <w:p w:rsidR="007904A3" w:rsidRPr="007904A3" w:rsidRDefault="007904A3" w:rsidP="007904A3">
      <w:pPr>
        <w:widowControl w:val="0"/>
        <w:tabs>
          <w:tab w:val="left" w:pos="1485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Изготвяне на окончателените доклади съгласно чл. 168, ал. 6 от ЗУТ и за издаване на Разрешения за ползване, след приключване на строително-монтажните работи;</w:t>
      </w:r>
    </w:p>
    <w:p w:rsidR="007904A3" w:rsidRPr="007904A3" w:rsidRDefault="007904A3" w:rsidP="007904A3">
      <w:pPr>
        <w:widowControl w:val="0"/>
        <w:tabs>
          <w:tab w:val="left" w:pos="1533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Внасяне на окончателните доклади и за съдействие за издаване на Разрешения за ползване.</w:t>
      </w:r>
    </w:p>
    <w:p w:rsidR="007904A3" w:rsidRPr="007904A3" w:rsidRDefault="007904A3" w:rsidP="007904A3">
      <w:pPr>
        <w:widowControl w:val="0"/>
        <w:tabs>
          <w:tab w:val="left" w:pos="1533"/>
        </w:tabs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Изброените по - горе задължения не са  ограничаващи Изпълнителя. Предмет на поръчката са и всички други дейности, изисквани от закона, технологичните правила и нормативи и/или необходими за осигуряване на ефективен и качествен контрол по изпълняваните строителните и монтажни работи.</w:t>
      </w:r>
    </w:p>
    <w:p w:rsidR="007904A3" w:rsidRPr="007904A3" w:rsidRDefault="007904A3" w:rsidP="007904A3">
      <w:pPr>
        <w:widowControl w:val="0"/>
        <w:tabs>
          <w:tab w:val="left" w:pos="153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Лицата, които упражняват строителен надзор, носят отговорност за щети, които са нанесли на възложителя и на другите участници в строителството, и солидарна отговорност със строителя за щети, причинени от неспазване на техническите правила и нормативи и одобрените проекти. Отговорността по договора за строителен надзор е със срокове, не по-малки от минимално установените гаранционни срокове в строителството. Предписанията и заповедите на лицето, упражняващо строителен надзор, вписани в заповедната книга на обекта след съгласуване с възложителя, са задължителни за строителя, възложителя и техническия ръководител на строежа. Възражения срещу предписанията на лицето, упражняващо строителния надзор, могат да се правят в 3-дневен срок пред органите на Дирекцията за национален строителен контрол, като до произнасянето им строителството се спира. След проверка, органите на Дирекцията за Национален строителен контрол издават задължителни указания.</w:t>
      </w:r>
    </w:p>
    <w:p w:rsidR="007904A3" w:rsidRPr="007904A3" w:rsidRDefault="007904A3" w:rsidP="007904A3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>3. ПРЕДОСТАВЯНИ ДОКУМЕНТИ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В процеса на работа възложителят ще предостави  на изпълнителя  в електронен вид:</w:t>
      </w:r>
    </w:p>
    <w:p w:rsidR="007904A3" w:rsidRPr="007904A3" w:rsidRDefault="007904A3" w:rsidP="007904A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документи за собственост  и актуални скици за имотите;</w:t>
      </w:r>
    </w:p>
    <w:p w:rsidR="007904A3" w:rsidRPr="007904A3" w:rsidRDefault="007904A3" w:rsidP="007904A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готовите части на  инвестиционните проекти за преглед и оценка;</w:t>
      </w:r>
    </w:p>
    <w:p w:rsidR="007904A3" w:rsidRPr="007904A3" w:rsidRDefault="007904A3" w:rsidP="007904A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 xml:space="preserve">всички съставени документи относно инвестиционните проекти; </w:t>
      </w:r>
    </w:p>
    <w:p w:rsidR="007904A3" w:rsidRPr="007904A3" w:rsidRDefault="007904A3" w:rsidP="007904A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договори с експлоатационните дружества;</w:t>
      </w:r>
    </w:p>
    <w:p w:rsidR="007904A3" w:rsidRPr="007904A3" w:rsidRDefault="007904A3" w:rsidP="007904A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съгласувателни документи;</w:t>
      </w:r>
    </w:p>
    <w:p w:rsidR="007904A3" w:rsidRPr="007904A3" w:rsidRDefault="007904A3" w:rsidP="007904A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телефони и адреси за връзка с проектантите и оторизирани представители на Възложителя.</w:t>
      </w: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  <w:r w:rsidRPr="007904A3">
        <w:rPr>
          <w:rFonts w:ascii="Calibri" w:hAnsi="Calibri" w:cs="Calibri"/>
          <w:b/>
          <w:sz w:val="22"/>
          <w:szCs w:val="22"/>
        </w:rPr>
        <w:t>4. ОЧАКВАНИ КРАЙНИ РЕЗУЛТАТИ</w:t>
      </w:r>
    </w:p>
    <w:p w:rsidR="007904A3" w:rsidRPr="007904A3" w:rsidRDefault="007904A3" w:rsidP="007904A3">
      <w:pPr>
        <w:jc w:val="both"/>
        <w:rPr>
          <w:rFonts w:ascii="Calibri" w:hAnsi="Calibri" w:cs="Calibri"/>
          <w:b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Очакваните  крайни резултати по видове дейности са както следва:</w:t>
      </w:r>
    </w:p>
    <w:p w:rsidR="007904A3" w:rsidRPr="007904A3" w:rsidRDefault="007904A3" w:rsidP="007904A3">
      <w:pPr>
        <w:widowControl w:val="0"/>
        <w:tabs>
          <w:tab w:val="left" w:pos="95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Комплексни доклад за оценка на съответствието на инвестиционните проекти със съществените изисквания към строежите, съгласно чл. 142, ал. 5, ЗУТ;</w:t>
      </w:r>
    </w:p>
    <w:p w:rsidR="007904A3" w:rsidRPr="007904A3" w:rsidRDefault="007904A3" w:rsidP="007904A3">
      <w:pPr>
        <w:widowControl w:val="0"/>
        <w:tabs>
          <w:tab w:val="left" w:pos="95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bCs/>
          <w:sz w:val="22"/>
          <w:szCs w:val="22"/>
          <w:lang w:bidi="bg-BG"/>
        </w:rPr>
        <w:t>- Разрешения за строеж;</w:t>
      </w:r>
    </w:p>
    <w:p w:rsidR="007904A3" w:rsidRPr="007904A3" w:rsidRDefault="007904A3" w:rsidP="007904A3">
      <w:pPr>
        <w:widowControl w:val="0"/>
        <w:tabs>
          <w:tab w:val="left" w:pos="95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Окончателни доклади, съгласно изискванията на чл. 168, ал. 6 от ЗУТ, след приключване на строително-монтажните работи;</w:t>
      </w:r>
    </w:p>
    <w:p w:rsidR="007904A3" w:rsidRPr="007904A3" w:rsidRDefault="007904A3" w:rsidP="007904A3">
      <w:pPr>
        <w:widowControl w:val="0"/>
        <w:tabs>
          <w:tab w:val="left" w:pos="950"/>
        </w:tabs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>- Разрешения за ползване.</w:t>
      </w:r>
    </w:p>
    <w:p w:rsidR="007904A3" w:rsidRPr="007904A3" w:rsidRDefault="007904A3" w:rsidP="007904A3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jc w:val="both"/>
        <w:rPr>
          <w:rFonts w:ascii="Calibri" w:hAnsi="Calibri" w:cs="Calibri"/>
          <w:sz w:val="22"/>
          <w:szCs w:val="22"/>
        </w:rPr>
      </w:pPr>
    </w:p>
    <w:p w:rsidR="007904A3" w:rsidRPr="007904A3" w:rsidRDefault="007904A3" w:rsidP="007904A3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7904A3">
        <w:rPr>
          <w:rFonts w:ascii="Calibri" w:hAnsi="Calibri" w:cs="Calibri"/>
          <w:sz w:val="22"/>
          <w:szCs w:val="22"/>
        </w:rPr>
        <w:tab/>
      </w:r>
      <w:r w:rsidRPr="007904A3">
        <w:rPr>
          <w:rFonts w:ascii="Calibri" w:hAnsi="Calibri" w:cs="Calibri"/>
          <w:sz w:val="22"/>
          <w:szCs w:val="22"/>
        </w:rPr>
        <w:tab/>
      </w:r>
    </w:p>
    <w:p w:rsidR="007904A3" w:rsidRPr="007904A3" w:rsidRDefault="007904A3" w:rsidP="007904A3">
      <w:pPr>
        <w:rPr>
          <w:rFonts w:ascii="Calibri" w:hAnsi="Calibri" w:cs="Calibri"/>
          <w:sz w:val="22"/>
          <w:szCs w:val="22"/>
        </w:rPr>
      </w:pPr>
    </w:p>
    <w:p w:rsidR="00C12ECE" w:rsidRPr="006D4A19" w:rsidRDefault="00C12ECE" w:rsidP="00155EC0">
      <w:pPr>
        <w:rPr>
          <w:lang w:val="en-US"/>
        </w:rPr>
      </w:pPr>
    </w:p>
    <w:sectPr w:rsidR="00C12ECE" w:rsidRPr="006D4A19" w:rsidSect="006D4A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86" w:rsidRDefault="00AA6B86" w:rsidP="00C5450D">
      <w:r>
        <w:separator/>
      </w:r>
    </w:p>
  </w:endnote>
  <w:endnote w:type="continuationSeparator" w:id="0">
    <w:p w:rsidR="00AA6B86" w:rsidRDefault="00AA6B8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9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F529A6" w:rsidRPr="00F529A6">
      <w:tc>
        <w:tcPr>
          <w:tcW w:w="918" w:type="dxa"/>
        </w:tcPr>
        <w:p w:rsidR="00F529A6" w:rsidRPr="00F529A6" w:rsidRDefault="00F529A6">
          <w:pPr>
            <w:pStyle w:val="Footer"/>
            <w:jc w:val="right"/>
            <w:rPr>
              <w:bCs/>
              <w14:numForm w14:val="oldStyle"/>
            </w:rPr>
          </w:pPr>
          <w:r w:rsidRPr="00F529A6">
            <w:rPr>
              <w14:numForm w14:val="oldStyle"/>
            </w:rPr>
            <w:fldChar w:fldCharType="begin"/>
          </w:r>
          <w:r w:rsidRPr="00F529A6">
            <w:rPr>
              <w14:numForm w14:val="oldStyle"/>
            </w:rPr>
            <w:instrText xml:space="preserve"> PAGE   \* MERGEFORMAT </w:instrText>
          </w:r>
          <w:r w:rsidRPr="00F529A6">
            <w:rPr>
              <w14:numForm w14:val="oldStyle"/>
            </w:rPr>
            <w:fldChar w:fldCharType="separate"/>
          </w:r>
          <w:r w:rsidRPr="00F529A6">
            <w:rPr>
              <w:bCs/>
              <w:noProof/>
              <w14:numForm w14:val="oldStyle"/>
            </w:rPr>
            <w:t>3</w:t>
          </w:r>
          <w:r w:rsidRPr="00F529A6">
            <w:rPr>
              <w:bCs/>
              <w:noProof/>
              <w14:numForm w14:val="oldStyle"/>
            </w:rPr>
            <w:fldChar w:fldCharType="end"/>
          </w:r>
        </w:p>
      </w:tc>
      <w:tc>
        <w:tcPr>
          <w:tcW w:w="7938" w:type="dxa"/>
        </w:tcPr>
        <w:p w:rsidR="00F529A6" w:rsidRPr="00F529A6" w:rsidRDefault="00F529A6">
          <w:pPr>
            <w:pStyle w:val="Footer"/>
          </w:pPr>
        </w:p>
      </w:tc>
    </w:tr>
  </w:tbl>
  <w:p w:rsidR="00F529A6" w:rsidRPr="00F529A6" w:rsidRDefault="00F529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F529A6">
      <w:tc>
        <w:tcPr>
          <w:tcW w:w="918" w:type="dxa"/>
        </w:tcPr>
        <w:p w:rsidR="00F529A6" w:rsidRPr="00F529A6" w:rsidRDefault="00F529A6">
          <w:pPr>
            <w:pStyle w:val="Footer"/>
            <w:jc w:val="right"/>
            <w:rPr>
              <w:bCs/>
              <w:color w:val="4F81BD" w:themeColor="accent1"/>
              <w14:numForm w14:val="oldStyle"/>
            </w:rPr>
          </w:pPr>
          <w:r w:rsidRPr="00F529A6">
            <w:rPr>
              <w14:textOutline w14:w="6350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numForm w14:val="oldStyle"/>
            </w:rPr>
            <w:fldChar w:fldCharType="begin"/>
          </w:r>
          <w:r w:rsidRPr="00F529A6">
            <w:rPr>
              <w14:textOutline w14:w="6350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numForm w14:val="oldStyle"/>
            </w:rPr>
            <w:instrText xml:space="preserve"> PAGE   \* MERGEFORMAT </w:instrText>
          </w:r>
          <w:r w:rsidRPr="00F529A6">
            <w:rPr>
              <w14:textOutline w14:w="6350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numForm w14:val="oldStyle"/>
            </w:rPr>
            <w:fldChar w:fldCharType="separate"/>
          </w:r>
          <w:r w:rsidRPr="00F529A6">
            <w:rPr>
              <w:bCs/>
              <w:noProof/>
              <w14:textOutline w14:w="6350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numForm w14:val="oldStyle"/>
            </w:rPr>
            <w:t>1</w:t>
          </w:r>
          <w:r w:rsidRPr="00F529A6">
            <w:rPr>
              <w:bCs/>
              <w:noProof/>
              <w14:textOutline w14:w="6350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numForm w14:val="oldStyle"/>
            </w:rPr>
            <w:fldChar w:fldCharType="end"/>
          </w:r>
        </w:p>
      </w:tc>
      <w:tc>
        <w:tcPr>
          <w:tcW w:w="7938" w:type="dxa"/>
        </w:tcPr>
        <w:p w:rsidR="00F529A6" w:rsidRPr="00F529A6" w:rsidRDefault="00F529A6">
          <w:pPr>
            <w:pStyle w:val="Footer"/>
            <w:rPr>
              <w:b/>
            </w:rPr>
          </w:pPr>
        </w:p>
      </w:tc>
    </w:tr>
  </w:tbl>
  <w:p w:rsidR="006D4A19" w:rsidRDefault="006D4A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86" w:rsidRDefault="00AA6B86" w:rsidP="00C5450D">
      <w:r>
        <w:separator/>
      </w:r>
    </w:p>
  </w:footnote>
  <w:footnote w:type="continuationSeparator" w:id="0">
    <w:p w:rsidR="00AA6B86" w:rsidRDefault="00AA6B8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64B"/>
    <w:multiLevelType w:val="hybridMultilevel"/>
    <w:tmpl w:val="460EF272"/>
    <w:lvl w:ilvl="0" w:tplc="04090005">
      <w:start w:val="1"/>
      <w:numFmt w:val="bullet"/>
      <w:lvlText w:val=""/>
      <w:lvlJc w:val="left"/>
      <w:pPr>
        <w:tabs>
          <w:tab w:val="num" w:pos="584"/>
        </w:tabs>
        <w:ind w:left="584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o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o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o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E3DBB"/>
    <w:multiLevelType w:val="hybridMultilevel"/>
    <w:tmpl w:val="B5981D8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5306F"/>
    <w:rsid w:val="00155EC0"/>
    <w:rsid w:val="001728DB"/>
    <w:rsid w:val="001B5CAD"/>
    <w:rsid w:val="001E0192"/>
    <w:rsid w:val="00270271"/>
    <w:rsid w:val="00281C22"/>
    <w:rsid w:val="00285A16"/>
    <w:rsid w:val="002A0994"/>
    <w:rsid w:val="002C5A74"/>
    <w:rsid w:val="00380D36"/>
    <w:rsid w:val="004031DC"/>
    <w:rsid w:val="004A5300"/>
    <w:rsid w:val="004C7BF5"/>
    <w:rsid w:val="004E09B2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60ED5"/>
    <w:rsid w:val="007904A3"/>
    <w:rsid w:val="008651F9"/>
    <w:rsid w:val="009179FE"/>
    <w:rsid w:val="00954B1F"/>
    <w:rsid w:val="00957235"/>
    <w:rsid w:val="00995C28"/>
    <w:rsid w:val="009A54D0"/>
    <w:rsid w:val="00AA6B86"/>
    <w:rsid w:val="00B20464"/>
    <w:rsid w:val="00C12ECE"/>
    <w:rsid w:val="00C20AA6"/>
    <w:rsid w:val="00C5450D"/>
    <w:rsid w:val="00CB6C48"/>
    <w:rsid w:val="00CC2E7E"/>
    <w:rsid w:val="00D476D8"/>
    <w:rsid w:val="00E150B4"/>
    <w:rsid w:val="00E570B0"/>
    <w:rsid w:val="00F41CD1"/>
    <w:rsid w:val="00F529A6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6.ciela.net:80/Document/LinkToDocumentReference?fromDocumentId=2135163904&amp;dbId=0&amp;refId=1699199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vo1.ciela.net/Dispatcher.aspx?Destination=Document&amp;Method=OpenRef&amp;Idref=290441&amp;Category=normi&amp;lang=bg-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1.ciela.net/Dispatcher.aspx?Destination=Document&amp;Method=OpenRef&amp;Idref=290440&amp;Category=normi&amp;lang=bg-B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ravo1.ciela.net/Dispatcher.aspx?Destination=Document&amp;Method=OpenRef&amp;Idref=290439&amp;Category=normi&amp;lang=bg-B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eb6.ciela.net:80/Document/LinkToDocumentReference?fromDocumentId=2135163904&amp;dbId=0&amp;refId=1891489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A22A-C1F0-453C-9E8A-CCBFE6F4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20</cp:revision>
  <dcterms:created xsi:type="dcterms:W3CDTF">2015-01-26T12:07:00Z</dcterms:created>
  <dcterms:modified xsi:type="dcterms:W3CDTF">2019-03-05T08:53:00Z</dcterms:modified>
</cp:coreProperties>
</file>