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E" w:rsidRPr="00985E27" w:rsidRDefault="0074041B" w:rsidP="00ED3D43">
      <w:pPr>
        <w:jc w:val="both"/>
        <w:rPr>
          <w:b/>
        </w:rPr>
      </w:pPr>
      <w:r w:rsidRPr="00985E27">
        <w:t xml:space="preserve"> </w:t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ED07A9" w:rsidRPr="00985E27">
        <w:tab/>
      </w:r>
      <w:r w:rsidR="00231070" w:rsidRPr="00985E27">
        <w:tab/>
      </w:r>
      <w:r w:rsidR="003C3D23" w:rsidRPr="00985E27">
        <w:rPr>
          <w:b/>
        </w:rPr>
        <w:t>Приложение № 1</w:t>
      </w:r>
    </w:p>
    <w:p w:rsidR="00ED07A9" w:rsidRPr="00985E27" w:rsidRDefault="00ED07A9" w:rsidP="00ED3D43">
      <w:pPr>
        <w:jc w:val="both"/>
      </w:pPr>
    </w:p>
    <w:p w:rsidR="00ED07A9" w:rsidRPr="00985E27" w:rsidRDefault="00ED07A9" w:rsidP="00ED3D43">
      <w:pPr>
        <w:jc w:val="both"/>
      </w:pPr>
    </w:p>
    <w:p w:rsidR="00ED07A9" w:rsidRPr="00985E27" w:rsidRDefault="00ED07A9" w:rsidP="00231070">
      <w:pPr>
        <w:jc w:val="center"/>
        <w:rPr>
          <w:b/>
        </w:rPr>
      </w:pPr>
      <w:r w:rsidRPr="00985E27">
        <w:rPr>
          <w:b/>
        </w:rPr>
        <w:t>ТЕХНИЧЕСКА СПЕЦИФИКАЦИЯ</w:t>
      </w:r>
    </w:p>
    <w:p w:rsidR="00B06B68" w:rsidRPr="00985E27" w:rsidRDefault="00B06B68" w:rsidP="00231070">
      <w:pPr>
        <w:jc w:val="center"/>
        <w:rPr>
          <w:b/>
        </w:rPr>
      </w:pPr>
      <w:r w:rsidRPr="00985E27">
        <w:rPr>
          <w:b/>
        </w:rPr>
        <w:t>за</w:t>
      </w:r>
    </w:p>
    <w:p w:rsidR="00B06B68" w:rsidRPr="00985E27" w:rsidRDefault="00B06B68" w:rsidP="00231070">
      <w:pPr>
        <w:jc w:val="center"/>
        <w:rPr>
          <w:rFonts w:eastAsia="Calibri"/>
          <w:b/>
          <w:lang w:eastAsia="en-US"/>
        </w:rPr>
      </w:pPr>
      <w:r w:rsidRPr="00985E27">
        <w:rPr>
          <w:rFonts w:eastAsia="Calibri"/>
          <w:b/>
          <w:lang w:eastAsia="en-US"/>
        </w:rPr>
        <w:t xml:space="preserve">„Извършване на </w:t>
      </w:r>
      <w:proofErr w:type="spellStart"/>
      <w:r w:rsidR="003E3C9B">
        <w:rPr>
          <w:rFonts w:eastAsia="Calibri"/>
          <w:b/>
          <w:lang w:eastAsia="en-US"/>
        </w:rPr>
        <w:t>одитна</w:t>
      </w:r>
      <w:proofErr w:type="spellEnd"/>
      <w:r w:rsidR="001555A1">
        <w:rPr>
          <w:rFonts w:eastAsia="Calibri"/>
          <w:b/>
          <w:lang w:eastAsia="en-US"/>
        </w:rPr>
        <w:t xml:space="preserve"> проверк</w:t>
      </w:r>
      <w:r w:rsidR="003E3C9B">
        <w:rPr>
          <w:rFonts w:eastAsia="Calibri"/>
          <w:b/>
          <w:lang w:eastAsia="en-US"/>
        </w:rPr>
        <w:t>а</w:t>
      </w:r>
      <w:r w:rsidRPr="00985E27">
        <w:rPr>
          <w:rFonts w:eastAsia="Calibri"/>
          <w:b/>
          <w:lang w:eastAsia="en-US"/>
        </w:rPr>
        <w:t xml:space="preserve"> на дейностите по проект BG05M2OP001-1.</w:t>
      </w:r>
      <w:r w:rsidRPr="005E32E1">
        <w:rPr>
          <w:rFonts w:eastAsia="Calibri"/>
          <w:b/>
          <w:lang w:eastAsia="en-US"/>
        </w:rPr>
        <w:t>002</w:t>
      </w:r>
      <w:r w:rsidRPr="00CA4170">
        <w:rPr>
          <w:rFonts w:eastAsia="Calibri"/>
          <w:b/>
          <w:lang w:eastAsia="en-US"/>
        </w:rPr>
        <w:t xml:space="preserve">-0001 </w:t>
      </w:r>
      <w:r w:rsidRPr="00985E27">
        <w:rPr>
          <w:rFonts w:eastAsia="Calibri"/>
          <w:b/>
          <w:lang w:eastAsia="en-US"/>
        </w:rPr>
        <w:t>„Фундаментални, транслиращи и клинични изследвания в областта на инфекциите и инфекциозната имунология”, финансиран от Оперативна програма „Наука и образование за интелигентен растеж 2014-2020г.“</w:t>
      </w:r>
    </w:p>
    <w:p w:rsidR="003145EA" w:rsidRPr="00985E27" w:rsidRDefault="003145EA" w:rsidP="00231070">
      <w:pPr>
        <w:jc w:val="center"/>
        <w:rPr>
          <w:rFonts w:eastAsia="Calibri"/>
          <w:b/>
          <w:lang w:eastAsia="en-US"/>
        </w:rPr>
      </w:pPr>
    </w:p>
    <w:p w:rsidR="003145EA" w:rsidRPr="00985E27" w:rsidRDefault="003145EA" w:rsidP="00ED3D43">
      <w:pPr>
        <w:jc w:val="both"/>
        <w:rPr>
          <w:rFonts w:eastAsia="Calibri"/>
          <w:lang w:eastAsia="en-US"/>
        </w:rPr>
      </w:pPr>
    </w:p>
    <w:p w:rsidR="007021EA" w:rsidRPr="00985E27" w:rsidRDefault="007021EA" w:rsidP="00BF1361">
      <w:pPr>
        <w:pStyle w:val="ListParagraph"/>
        <w:numPr>
          <w:ilvl w:val="0"/>
          <w:numId w:val="2"/>
        </w:numPr>
        <w:jc w:val="both"/>
        <w:rPr>
          <w:b/>
        </w:rPr>
      </w:pPr>
      <w:r w:rsidRPr="00985E27">
        <w:rPr>
          <w:b/>
        </w:rPr>
        <w:t>ВЪВЕДЕНЕИЕ</w:t>
      </w:r>
    </w:p>
    <w:p w:rsidR="005778E3" w:rsidRPr="00985E27" w:rsidRDefault="005778E3" w:rsidP="005778E3">
      <w:pPr>
        <w:pStyle w:val="ListParagraph"/>
        <w:jc w:val="both"/>
        <w:rPr>
          <w:b/>
        </w:rPr>
      </w:pPr>
    </w:p>
    <w:p w:rsidR="007021EA" w:rsidRPr="00985E27" w:rsidRDefault="007021EA" w:rsidP="007021EA">
      <w:pPr>
        <w:jc w:val="both"/>
        <w:rPr>
          <w:rFonts w:eastAsia="Calibri"/>
          <w:lang w:eastAsia="en-US"/>
        </w:rPr>
      </w:pPr>
      <w:r w:rsidRPr="00985E27">
        <w:rPr>
          <w:rFonts w:eastAsia="Batang"/>
          <w:color w:val="000000"/>
        </w:rPr>
        <w:t xml:space="preserve">Възлагането на настоящата </w:t>
      </w:r>
      <w:r w:rsidR="002A0782" w:rsidRPr="00985E27">
        <w:rPr>
          <w:rFonts w:eastAsia="Batang"/>
          <w:color w:val="000000"/>
        </w:rPr>
        <w:t xml:space="preserve">обществена </w:t>
      </w:r>
      <w:r w:rsidRPr="00985E27">
        <w:rPr>
          <w:rFonts w:eastAsia="Batang"/>
          <w:color w:val="000000"/>
        </w:rPr>
        <w:t>поръчка има за цел избор на изпълнител</w:t>
      </w:r>
      <w:r w:rsidR="003E3C9B">
        <w:rPr>
          <w:rFonts w:eastAsia="Batang"/>
          <w:color w:val="000000"/>
        </w:rPr>
        <w:t>,който да извърши</w:t>
      </w:r>
      <w:r w:rsidR="002A0782" w:rsidRPr="00985E27">
        <w:rPr>
          <w:rFonts w:eastAsia="Batang"/>
          <w:color w:val="000000"/>
        </w:rPr>
        <w:t xml:space="preserve"> </w:t>
      </w:r>
      <w:proofErr w:type="spellStart"/>
      <w:r w:rsidR="003E3C9B">
        <w:rPr>
          <w:rFonts w:eastAsia="Batang"/>
          <w:color w:val="000000"/>
        </w:rPr>
        <w:t>одитна</w:t>
      </w:r>
      <w:proofErr w:type="spellEnd"/>
      <w:r w:rsidR="003E3C9B">
        <w:rPr>
          <w:rFonts w:eastAsia="Batang"/>
          <w:color w:val="000000"/>
        </w:rPr>
        <w:t xml:space="preserve"> проверка на дейностите по</w:t>
      </w:r>
      <w:r w:rsidR="002A0782" w:rsidRPr="00985E27">
        <w:rPr>
          <w:rFonts w:eastAsia="Batang"/>
          <w:color w:val="000000"/>
        </w:rPr>
        <w:t xml:space="preserve"> проект </w:t>
      </w:r>
      <w:r w:rsidR="002A0782" w:rsidRPr="00985E27">
        <w:rPr>
          <w:rFonts w:eastAsia="Calibri"/>
          <w:lang w:eastAsia="en-US"/>
        </w:rPr>
        <w:t>BG05M2OP001-1.</w:t>
      </w:r>
      <w:r w:rsidR="002A0782" w:rsidRPr="005E32E1">
        <w:rPr>
          <w:rFonts w:eastAsia="Calibri"/>
          <w:lang w:eastAsia="en-US"/>
        </w:rPr>
        <w:t>002</w:t>
      </w:r>
      <w:r w:rsidR="002A0782" w:rsidRPr="00CA4170">
        <w:rPr>
          <w:rFonts w:eastAsia="Calibri"/>
          <w:lang w:eastAsia="en-US"/>
        </w:rPr>
        <w:t xml:space="preserve">-0001 </w:t>
      </w:r>
      <w:r w:rsidR="002A0782" w:rsidRPr="00985E27">
        <w:rPr>
          <w:rFonts w:eastAsia="Calibri"/>
          <w:lang w:eastAsia="en-US"/>
        </w:rPr>
        <w:t>„Фундаментални, транслиращи и клинични изследвания в областта на инфекциите и инфекциозната имунология”, финансиран от Оперативна програма „Наука и образование за интелигентен растеж 2014-2020г.”, процедура чрез подбор BG05M2OP001-1.002 „Изграждане и развитие на центрове за компетентност“</w:t>
      </w:r>
      <w:r w:rsidR="002A0782" w:rsidRPr="00985E27">
        <w:rPr>
          <w:rFonts w:eastAsia="Batang"/>
          <w:color w:val="000000"/>
        </w:rPr>
        <w:t xml:space="preserve">. </w:t>
      </w:r>
      <w:r w:rsidR="003E3C9B" w:rsidRPr="003E3C9B">
        <w:rPr>
          <w:rFonts w:eastAsia="Batang"/>
          <w:color w:val="000000"/>
        </w:rPr>
        <w:t>Възложителят възлага извършването на одитна проверка с цел получаване</w:t>
      </w:r>
      <w:r w:rsidR="003E3C9B" w:rsidRPr="00D4246D">
        <w:t xml:space="preserve"> на допълнителна увереност по отношение на законосъобразността на разходите, ефективното и ефикасното изпълнение на дейностите по проекта и спазването на специфичните нормативни правила на ЕС.</w:t>
      </w:r>
      <w:r w:rsidRPr="00985E27">
        <w:rPr>
          <w:rFonts w:eastAsia="Batang"/>
          <w:color w:val="000000"/>
        </w:rPr>
        <w:t xml:space="preserve"> </w:t>
      </w:r>
      <w:r w:rsidR="003E3C9B">
        <w:rPr>
          <w:rFonts w:eastAsia="Batang"/>
          <w:color w:val="000000"/>
        </w:rPr>
        <w:t>Одитната проверка се и</w:t>
      </w:r>
      <w:r w:rsidR="00400C44">
        <w:rPr>
          <w:rFonts w:eastAsia="Batang"/>
          <w:color w:val="000000"/>
        </w:rPr>
        <w:t>зпълнява</w:t>
      </w:r>
      <w:r w:rsidR="003E3C9B">
        <w:rPr>
          <w:rFonts w:eastAsia="Batang"/>
          <w:color w:val="000000"/>
        </w:rPr>
        <w:t xml:space="preserve"> под формата на ангажимен</w:t>
      </w:r>
      <w:r w:rsidR="005460A1">
        <w:rPr>
          <w:rFonts w:eastAsia="Batang"/>
          <w:color w:val="000000"/>
        </w:rPr>
        <w:t>т</w:t>
      </w:r>
      <w:r w:rsidR="003E3C9B">
        <w:rPr>
          <w:rFonts w:eastAsia="Batang"/>
          <w:color w:val="000000"/>
        </w:rPr>
        <w:t xml:space="preserve"> за</w:t>
      </w:r>
      <w:r w:rsidR="005460A1">
        <w:rPr>
          <w:rFonts w:eastAsia="Batang"/>
          <w:color w:val="000000"/>
        </w:rPr>
        <w:t xml:space="preserve"> </w:t>
      </w:r>
      <w:r w:rsidR="00400C44">
        <w:rPr>
          <w:rFonts w:eastAsia="Batang"/>
          <w:color w:val="000000"/>
        </w:rPr>
        <w:t xml:space="preserve">извършване на </w:t>
      </w:r>
      <w:r w:rsidR="005460A1">
        <w:rPr>
          <w:rFonts w:eastAsia="Batang"/>
          <w:color w:val="000000"/>
        </w:rPr>
        <w:t>договорени процедури</w:t>
      </w:r>
      <w:r w:rsidR="00802F47">
        <w:rPr>
          <w:rFonts w:eastAsia="Batang"/>
          <w:color w:val="000000"/>
        </w:rPr>
        <w:t xml:space="preserve"> по проекта</w:t>
      </w:r>
      <w:r w:rsidR="005460A1">
        <w:rPr>
          <w:rFonts w:eastAsia="Batang"/>
          <w:color w:val="000000"/>
        </w:rPr>
        <w:t>. При изпълнение на ангажимента за договорени процедури, участникът избран</w:t>
      </w:r>
      <w:r w:rsidR="00571E9E">
        <w:rPr>
          <w:rFonts w:eastAsia="Batang"/>
          <w:color w:val="000000"/>
        </w:rPr>
        <w:t xml:space="preserve"> за изпълнител извършва проверка за констатиране на съответствие </w:t>
      </w:r>
      <w:r w:rsidR="00571E9E">
        <w:rPr>
          <w:rFonts w:eastAsia="Batang"/>
          <w:color w:val="000000"/>
          <w:lang w:val="en-US"/>
        </w:rPr>
        <w:t>(</w:t>
      </w:r>
      <w:r w:rsidR="00571E9E">
        <w:rPr>
          <w:rFonts w:eastAsia="Batang"/>
          <w:color w:val="000000"/>
        </w:rPr>
        <w:t>законосъобразност и допустимост</w:t>
      </w:r>
      <w:r w:rsidR="00571E9E">
        <w:rPr>
          <w:rFonts w:eastAsia="Batang"/>
          <w:color w:val="000000"/>
          <w:lang w:val="en-US"/>
        </w:rPr>
        <w:t>)</w:t>
      </w:r>
      <w:r w:rsidR="00571E9E">
        <w:rPr>
          <w:rFonts w:eastAsia="Batang"/>
          <w:color w:val="000000"/>
        </w:rPr>
        <w:t xml:space="preserve"> по отношение на всеки разход, включен в съответното искане за плащане. Участникът избран за изпълнител </w:t>
      </w:r>
      <w:r w:rsidR="002A0782" w:rsidRPr="00985E27">
        <w:rPr>
          <w:rFonts w:eastAsia="Calibri"/>
        </w:rPr>
        <w:t xml:space="preserve"> </w:t>
      </w:r>
      <w:r w:rsidR="00571E9E">
        <w:rPr>
          <w:rFonts w:eastAsia="Calibri"/>
        </w:rPr>
        <w:t xml:space="preserve">представя </w:t>
      </w:r>
      <w:r w:rsidRPr="00985E27">
        <w:rPr>
          <w:rFonts w:eastAsia="Calibri"/>
        </w:rPr>
        <w:t>доклад</w:t>
      </w:r>
      <w:r w:rsidR="002A0782" w:rsidRPr="00985E27">
        <w:rPr>
          <w:rFonts w:eastAsia="Calibri"/>
        </w:rPr>
        <w:t>и</w:t>
      </w:r>
      <w:r w:rsidR="00571E9E">
        <w:rPr>
          <w:rFonts w:eastAsia="Calibri"/>
        </w:rPr>
        <w:t xml:space="preserve"> за фактически констатации</w:t>
      </w:r>
      <w:r w:rsidRPr="00985E27">
        <w:rPr>
          <w:rFonts w:eastAsia="Calibri"/>
        </w:rPr>
        <w:t>, приложен</w:t>
      </w:r>
      <w:r w:rsidR="002A0782" w:rsidRPr="00985E27">
        <w:rPr>
          <w:rFonts w:eastAsia="Calibri"/>
        </w:rPr>
        <w:t>и</w:t>
      </w:r>
      <w:r w:rsidRPr="00985E27">
        <w:rPr>
          <w:rFonts w:eastAsia="Calibri"/>
        </w:rPr>
        <w:t xml:space="preserve"> към </w:t>
      </w:r>
      <w:r w:rsidR="00571E9E">
        <w:rPr>
          <w:rFonts w:eastAsia="Calibri"/>
        </w:rPr>
        <w:t xml:space="preserve">конкретни </w:t>
      </w:r>
      <w:r w:rsidR="002A0782" w:rsidRPr="00985E27">
        <w:rPr>
          <w:rFonts w:eastAsia="Calibri"/>
        </w:rPr>
        <w:t>междинни искания/</w:t>
      </w:r>
      <w:r w:rsidRPr="00985E27">
        <w:rPr>
          <w:rFonts w:eastAsia="Calibri"/>
        </w:rPr>
        <w:t>окончателн</w:t>
      </w:r>
      <w:r w:rsidR="002A0782" w:rsidRPr="00985E27">
        <w:rPr>
          <w:rFonts w:eastAsia="Calibri"/>
        </w:rPr>
        <w:t>ото искане за плащане по</w:t>
      </w:r>
      <w:r w:rsidRPr="00985E27">
        <w:rPr>
          <w:rFonts w:eastAsia="Calibri"/>
        </w:rPr>
        <w:t xml:space="preserve"> проекта, </w:t>
      </w:r>
      <w:r w:rsidR="00447960">
        <w:rPr>
          <w:rFonts w:eastAsia="Calibri"/>
        </w:rPr>
        <w:t xml:space="preserve">изготвени </w:t>
      </w:r>
      <w:r w:rsidRPr="00985E27">
        <w:rPr>
          <w:rFonts w:eastAsia="Calibri"/>
        </w:rPr>
        <w:t>в съответствие с международните одиторски стандарти</w:t>
      </w:r>
      <w:r w:rsidR="00A16AD1">
        <w:rPr>
          <w:rFonts w:eastAsia="Calibri"/>
        </w:rPr>
        <w:t>, които</w:t>
      </w:r>
      <w:r w:rsidRPr="00985E27">
        <w:rPr>
          <w:rFonts w:eastAsia="Calibri"/>
        </w:rPr>
        <w:t xml:space="preserve"> включва</w:t>
      </w:r>
      <w:r w:rsidR="00A16AD1">
        <w:rPr>
          <w:rFonts w:eastAsia="Calibri"/>
        </w:rPr>
        <w:t>т</w:t>
      </w:r>
      <w:r w:rsidRPr="00985E27">
        <w:rPr>
          <w:rFonts w:eastAsia="Calibri"/>
        </w:rPr>
        <w:t xml:space="preserve">: </w:t>
      </w:r>
    </w:p>
    <w:p w:rsidR="007021EA" w:rsidRPr="00985E27" w:rsidRDefault="007021EA" w:rsidP="00BF1361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985E27">
        <w:rPr>
          <w:rFonts w:eastAsia="Calibri"/>
        </w:rPr>
        <w:t xml:space="preserve">Проследяване ефективното прилагане на националното законодателство, правото на ЕС и друга свързана нормативна база при изпълнение и отчитане на проекта от страна на </w:t>
      </w:r>
      <w:r w:rsidRPr="0065520F">
        <w:rPr>
          <w:bCs/>
          <w:color w:val="000000"/>
        </w:rPr>
        <w:t>партньори</w:t>
      </w:r>
      <w:r w:rsidR="00985E27">
        <w:rPr>
          <w:bCs/>
          <w:color w:val="000000"/>
        </w:rPr>
        <w:t>те</w:t>
      </w:r>
      <w:r w:rsidRPr="0065520F">
        <w:rPr>
          <w:bCs/>
          <w:color w:val="000000"/>
        </w:rPr>
        <w:t xml:space="preserve"> по проекта</w:t>
      </w:r>
      <w:r w:rsidRPr="00985E27">
        <w:rPr>
          <w:rFonts w:eastAsia="Calibri"/>
        </w:rPr>
        <w:t>;</w:t>
      </w:r>
    </w:p>
    <w:p w:rsidR="007021EA" w:rsidRPr="00985E27" w:rsidRDefault="007021EA" w:rsidP="00BF1361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985E27">
        <w:rPr>
          <w:rFonts w:eastAsia="Calibri"/>
        </w:rPr>
        <w:t xml:space="preserve">Проследяване ефективното прилагане от страна на </w:t>
      </w:r>
      <w:r w:rsidRPr="0065520F">
        <w:rPr>
          <w:bCs/>
          <w:color w:val="000000"/>
        </w:rPr>
        <w:t>партньори</w:t>
      </w:r>
      <w:r w:rsidR="00985E27">
        <w:rPr>
          <w:bCs/>
          <w:color w:val="000000"/>
        </w:rPr>
        <w:t>те</w:t>
      </w:r>
      <w:r w:rsidRPr="0065520F">
        <w:rPr>
          <w:bCs/>
          <w:color w:val="000000"/>
        </w:rPr>
        <w:t xml:space="preserve"> по проекта</w:t>
      </w:r>
      <w:r w:rsidRPr="00985E27">
        <w:rPr>
          <w:rFonts w:eastAsia="Calibri"/>
        </w:rPr>
        <w:t xml:space="preserve"> на правилата, разписани от органите, отговорни за управление, наблюдение и контрол на </w:t>
      </w:r>
      <w:r w:rsidRPr="0065520F">
        <w:rPr>
          <w:rFonts w:eastAsia="Calibri"/>
          <w:shd w:val="clear" w:color="auto" w:fill="FFFFFF"/>
        </w:rPr>
        <w:t>Оперативна програма „Наука и образование за интелигентен растеж“ 2014-2020</w:t>
      </w:r>
      <w:r w:rsidRPr="00985E27">
        <w:rPr>
          <w:rFonts w:eastAsia="Calibri"/>
          <w:bCs/>
        </w:rPr>
        <w:t>;</w:t>
      </w:r>
    </w:p>
    <w:p w:rsidR="007021EA" w:rsidRPr="00985E27" w:rsidRDefault="007021EA" w:rsidP="00BF1361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985E27">
        <w:rPr>
          <w:rFonts w:eastAsia="Calibri"/>
        </w:rPr>
        <w:t>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проекта.</w:t>
      </w:r>
    </w:p>
    <w:p w:rsidR="007021EA" w:rsidRPr="00985E27" w:rsidRDefault="007021EA" w:rsidP="007021EA">
      <w:pPr>
        <w:jc w:val="both"/>
        <w:rPr>
          <w:rFonts w:eastAsia="Calibri"/>
        </w:rPr>
      </w:pPr>
    </w:p>
    <w:p w:rsidR="00035CC0" w:rsidRDefault="007021EA" w:rsidP="00ED3D43">
      <w:pPr>
        <w:jc w:val="both"/>
        <w:rPr>
          <w:rFonts w:eastAsia="Calibri"/>
        </w:rPr>
      </w:pPr>
      <w:r w:rsidRPr="00985E27">
        <w:rPr>
          <w:rFonts w:eastAsia="Calibri"/>
        </w:rPr>
        <w:t xml:space="preserve"> </w:t>
      </w:r>
    </w:p>
    <w:p w:rsidR="003145EA" w:rsidRPr="00985E27" w:rsidRDefault="00400C44" w:rsidP="00ED3D43">
      <w:pPr>
        <w:jc w:val="both"/>
        <w:rPr>
          <w:rFonts w:eastAsia="Calibri"/>
          <w:lang w:eastAsia="en-US"/>
        </w:rPr>
      </w:pPr>
      <w:r>
        <w:rPr>
          <w:rFonts w:eastAsia="TimesNewRomanPSMT"/>
        </w:rPr>
        <w:t xml:space="preserve">Целта на ангажимента за извършване на договорени процедури е одиторът да извърши процедури от одиторско естество, за които той и възложителят са се договорили, и въз основа на които издава доклади за фактически констатации. </w:t>
      </w:r>
      <w:r w:rsidR="00AD2EED">
        <w:rPr>
          <w:rFonts w:eastAsia="TimesNewRomanPSMT"/>
        </w:rPr>
        <w:t xml:space="preserve">При изпълнение на ангажимента </w:t>
      </w:r>
      <w:proofErr w:type="spellStart"/>
      <w:r w:rsidR="00AD2EED">
        <w:rPr>
          <w:rFonts w:eastAsia="TimesNewRomanPSMT"/>
        </w:rPr>
        <w:t>одиторът</w:t>
      </w:r>
      <w:proofErr w:type="spellEnd"/>
      <w:r w:rsidR="003145EA" w:rsidRPr="0065520F">
        <w:rPr>
          <w:rFonts w:eastAsia="TimesNewRomanPSMT"/>
        </w:rPr>
        <w:t xml:space="preserve"> </w:t>
      </w:r>
      <w:r w:rsidR="003145EA" w:rsidRPr="00985E27">
        <w:rPr>
          <w:rFonts w:eastAsia="TimesNewRomanPSMT"/>
        </w:rPr>
        <w:t xml:space="preserve">има за задача да </w:t>
      </w:r>
      <w:r w:rsidR="003145EA" w:rsidRPr="0065520F">
        <w:rPr>
          <w:rFonts w:eastAsia="TimesNewRomanPSMT"/>
        </w:rPr>
        <w:t>установ</w:t>
      </w:r>
      <w:r w:rsidR="003145EA" w:rsidRPr="00985E27">
        <w:rPr>
          <w:rFonts w:eastAsia="TimesNewRomanPSMT"/>
        </w:rPr>
        <w:t>и</w:t>
      </w:r>
      <w:r w:rsidR="003145EA" w:rsidRPr="0065520F">
        <w:rPr>
          <w:rFonts w:eastAsia="TimesNewRomanPSMT"/>
        </w:rPr>
        <w:t xml:space="preserve"> дали</w:t>
      </w:r>
      <w:r w:rsidR="003145EA" w:rsidRPr="00985E27">
        <w:rPr>
          <w:rFonts w:eastAsia="TimesNewRomanPSMT"/>
        </w:rPr>
        <w:t xml:space="preserve"> </w:t>
      </w:r>
      <w:r w:rsidR="003145EA" w:rsidRPr="0065520F">
        <w:rPr>
          <w:rFonts w:eastAsia="TimesNewRomanPSMT"/>
        </w:rPr>
        <w:t>проект</w:t>
      </w:r>
      <w:r w:rsidR="00AD2EED">
        <w:rPr>
          <w:rFonts w:eastAsia="TimesNewRomanPSMT"/>
        </w:rPr>
        <w:t>ните</w:t>
      </w:r>
      <w:r w:rsidR="003145EA" w:rsidRPr="0065520F">
        <w:rPr>
          <w:rFonts w:eastAsia="TimesNewRomanPSMT"/>
        </w:rPr>
        <w:t xml:space="preserve"> дейности с</w:t>
      </w:r>
      <w:r w:rsidR="005452EB">
        <w:rPr>
          <w:rFonts w:eastAsia="TimesNewRomanPSMT"/>
        </w:rPr>
        <w:t>а</w:t>
      </w:r>
      <w:r w:rsidR="003145EA" w:rsidRPr="0065520F">
        <w:rPr>
          <w:rFonts w:eastAsia="TimesNewRomanPSMT"/>
        </w:rPr>
        <w:t xml:space="preserve"> осъществени </w:t>
      </w:r>
      <w:r w:rsidR="003145EA" w:rsidRPr="00985E27">
        <w:rPr>
          <w:rFonts w:eastAsia="TimesNewRomanPSMT"/>
        </w:rPr>
        <w:t>и</w:t>
      </w:r>
      <w:r w:rsidR="003145EA" w:rsidRPr="0065520F">
        <w:rPr>
          <w:rFonts w:eastAsia="TimesNewRomanPSMT"/>
        </w:rPr>
        <w:t xml:space="preserve"> функционират в съответствие с принципите за добро</w:t>
      </w:r>
      <w:r w:rsidR="003145EA" w:rsidRPr="00985E27">
        <w:rPr>
          <w:rFonts w:eastAsia="TimesNewRomanPSMT"/>
        </w:rPr>
        <w:t xml:space="preserve"> </w:t>
      </w:r>
      <w:r w:rsidR="003145EA" w:rsidRPr="0065520F">
        <w:rPr>
          <w:rFonts w:eastAsia="TimesNewRomanPSMT"/>
        </w:rPr>
        <w:t>финансово управление</w:t>
      </w:r>
      <w:r w:rsidR="003145EA" w:rsidRPr="00985E27">
        <w:rPr>
          <w:rFonts w:eastAsia="TimesNewRomanPSMT"/>
        </w:rPr>
        <w:t xml:space="preserve"> -</w:t>
      </w:r>
      <w:r w:rsidR="003145EA" w:rsidRPr="0065520F">
        <w:rPr>
          <w:rFonts w:eastAsia="TimesNewRomanPSMT"/>
        </w:rPr>
        <w:t xml:space="preserve"> икономичност, ефикасност и ефективност</w:t>
      </w:r>
      <w:r w:rsidR="003145EA" w:rsidRPr="00985E27">
        <w:rPr>
          <w:rFonts w:eastAsia="TimesNewRomanPSMT"/>
        </w:rPr>
        <w:t>.</w:t>
      </w:r>
    </w:p>
    <w:p w:rsidR="003145EA" w:rsidRPr="00985E27" w:rsidRDefault="003145EA" w:rsidP="00ED3D43">
      <w:pPr>
        <w:jc w:val="both"/>
        <w:rPr>
          <w:rFonts w:eastAsia="Calibri"/>
          <w:lang w:eastAsia="en-US"/>
        </w:rPr>
      </w:pPr>
    </w:p>
    <w:p w:rsidR="003145EA" w:rsidRPr="00985E27" w:rsidRDefault="007021EA" w:rsidP="00BF1361">
      <w:pPr>
        <w:pStyle w:val="ListParagraph"/>
        <w:numPr>
          <w:ilvl w:val="0"/>
          <w:numId w:val="2"/>
        </w:numPr>
        <w:jc w:val="both"/>
        <w:rPr>
          <w:b/>
        </w:rPr>
      </w:pPr>
      <w:r w:rsidRPr="00985E27">
        <w:rPr>
          <w:b/>
        </w:rPr>
        <w:t xml:space="preserve">КРАТКО ОПИСАНИЕ НА ПРОЕКТА </w:t>
      </w:r>
    </w:p>
    <w:p w:rsidR="003145EA" w:rsidRPr="00985E27" w:rsidRDefault="003145EA" w:rsidP="00ED3D43">
      <w:pPr>
        <w:jc w:val="both"/>
      </w:pPr>
    </w:p>
    <w:p w:rsidR="003145EA" w:rsidRPr="00985E27" w:rsidRDefault="003145EA" w:rsidP="00ED3D43">
      <w:pPr>
        <w:jc w:val="both"/>
      </w:pPr>
      <w:r w:rsidRPr="00985E27">
        <w:lastRenderedPageBreak/>
        <w:t xml:space="preserve">Проектът цели изграждане и оборудване на уникален в своята област научно-изследователски комплекс - Център за компетентност, който да  издигне на качествено ново ниво фундаменталните изследвания в областта на инфекциите и имунологията в </w:t>
      </w:r>
      <w:r w:rsidR="00DE1445">
        <w:t xml:space="preserve">Република </w:t>
      </w:r>
      <w:r w:rsidRPr="00985E27">
        <w:t xml:space="preserve">България. В резултат на изпълнението на проекта се очаква резултатите от проведените изследвания да </w:t>
      </w:r>
      <w:r w:rsidR="005452EB">
        <w:t>намерят приложение</w:t>
      </w:r>
      <w:r w:rsidRPr="00985E27">
        <w:t xml:space="preserve"> в медицинската практика за нуждите на медицинската диагностика, профилактика и лечение на заболяванията.</w:t>
      </w:r>
    </w:p>
    <w:p w:rsidR="003145EA" w:rsidRPr="00985E27" w:rsidRDefault="003145EA" w:rsidP="00ED3D43">
      <w:pPr>
        <w:jc w:val="both"/>
      </w:pPr>
    </w:p>
    <w:p w:rsidR="003145EA" w:rsidRPr="0065520F" w:rsidRDefault="003145EA" w:rsidP="00ED3D43">
      <w:p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t>Център</w:t>
      </w:r>
      <w:r w:rsidRPr="00985E27">
        <w:rPr>
          <w:rFonts w:eastAsiaTheme="minorHAnsi"/>
          <w:color w:val="000000"/>
          <w:lang w:eastAsia="en-US"/>
        </w:rPr>
        <w:t>ът</w:t>
      </w:r>
      <w:r w:rsidRPr="0065520F">
        <w:rPr>
          <w:rFonts w:eastAsiaTheme="minorHAnsi"/>
          <w:color w:val="000000"/>
          <w:lang w:eastAsia="en-US"/>
        </w:rPr>
        <w:t xml:space="preserve"> за компетентност „Фундаментални, транслиращи и клинични изследвания в обла</w:t>
      </w:r>
      <w:r w:rsidR="003B37D0" w:rsidRPr="0065520F">
        <w:rPr>
          <w:rFonts w:eastAsiaTheme="minorHAnsi"/>
          <w:color w:val="000000"/>
          <w:lang w:eastAsia="en-US"/>
        </w:rPr>
        <w:t>стта на инфекциите и инфекциозн</w:t>
      </w:r>
      <w:r w:rsidR="003B37D0">
        <w:rPr>
          <w:rFonts w:eastAsiaTheme="minorHAnsi"/>
          <w:color w:val="000000"/>
          <w:lang w:eastAsia="en-US"/>
        </w:rPr>
        <w:t>ата имунология</w:t>
      </w:r>
      <w:r w:rsidRPr="0065520F">
        <w:rPr>
          <w:rFonts w:eastAsiaTheme="minorHAnsi"/>
          <w:color w:val="000000"/>
          <w:lang w:eastAsia="en-US"/>
        </w:rPr>
        <w:t>” има за</w:t>
      </w:r>
      <w:r w:rsidRPr="00985E27">
        <w:rPr>
          <w:rFonts w:eastAsiaTheme="minorHAnsi"/>
          <w:color w:val="000000"/>
          <w:lang w:eastAsia="en-US"/>
        </w:rPr>
        <w:t xml:space="preserve"> </w:t>
      </w:r>
      <w:r w:rsidRPr="0065520F">
        <w:rPr>
          <w:rFonts w:eastAsiaTheme="minorHAnsi"/>
          <w:color w:val="000000"/>
          <w:lang w:eastAsia="en-US"/>
        </w:rPr>
        <w:t xml:space="preserve">стратегическа цел да осигури бърз и ефективен трансфер на данни от фундаменталните изследвания в областта на инфекциите и имунния отговор към медицинската практика за нуждите на индивидуалното и обществено здраве. </w:t>
      </w:r>
      <w:r w:rsidRPr="00985E27">
        <w:rPr>
          <w:rFonts w:eastAsiaTheme="minorHAnsi"/>
          <w:color w:val="000000"/>
          <w:lang w:eastAsia="en-US"/>
        </w:rPr>
        <w:t>Целта</w:t>
      </w:r>
      <w:r w:rsidRPr="0065520F">
        <w:rPr>
          <w:rFonts w:eastAsiaTheme="minorHAnsi"/>
          <w:color w:val="000000"/>
          <w:lang w:eastAsia="en-US"/>
        </w:rPr>
        <w:t xml:space="preserve"> е изграждане на уникален в своята област за </w:t>
      </w:r>
      <w:r w:rsidR="00DE1445">
        <w:rPr>
          <w:rFonts w:eastAsiaTheme="minorHAnsi"/>
          <w:color w:val="000000"/>
          <w:lang w:eastAsia="en-US"/>
        </w:rPr>
        <w:t xml:space="preserve">Република </w:t>
      </w:r>
      <w:r w:rsidRPr="0065520F">
        <w:rPr>
          <w:rFonts w:eastAsiaTheme="minorHAnsi"/>
          <w:color w:val="000000"/>
          <w:lang w:eastAsia="en-US"/>
        </w:rPr>
        <w:t>България научноизследователски комплекс, в съответствие с най-добрите европейски и световни стандарти и практики, с добре дефинирана организационна структура и необходимата критична маса от утвърдени и млади учени и технолози</w:t>
      </w:r>
      <w:r w:rsidRPr="00985E27">
        <w:rPr>
          <w:rFonts w:eastAsiaTheme="minorHAnsi"/>
          <w:color w:val="000000"/>
          <w:lang w:eastAsia="en-US"/>
        </w:rPr>
        <w:t xml:space="preserve"> </w:t>
      </w:r>
      <w:r w:rsidRPr="0065520F">
        <w:rPr>
          <w:rFonts w:eastAsiaTheme="minorHAnsi"/>
          <w:color w:val="000000"/>
          <w:lang w:eastAsia="en-US"/>
        </w:rPr>
        <w:t>-</w:t>
      </w:r>
      <w:r w:rsidR="00DE1445">
        <w:rPr>
          <w:rFonts w:eastAsiaTheme="minorHAnsi"/>
          <w:color w:val="000000"/>
          <w:lang w:eastAsia="en-US"/>
        </w:rPr>
        <w:t xml:space="preserve"> </w:t>
      </w:r>
      <w:r w:rsidRPr="0065520F">
        <w:rPr>
          <w:rFonts w:eastAsiaTheme="minorHAnsi"/>
          <w:color w:val="000000"/>
          <w:lang w:eastAsia="en-US"/>
        </w:rPr>
        <w:t>изпълнители.</w:t>
      </w:r>
    </w:p>
    <w:p w:rsidR="007021EA" w:rsidRPr="00985E27" w:rsidRDefault="007021EA" w:rsidP="00ED3D43">
      <w:pPr>
        <w:jc w:val="both"/>
        <w:rPr>
          <w:rFonts w:eastAsiaTheme="minorHAnsi"/>
          <w:color w:val="000000"/>
          <w:lang w:eastAsia="en-US"/>
        </w:rPr>
      </w:pPr>
    </w:p>
    <w:p w:rsidR="003145EA" w:rsidRPr="00985E27" w:rsidRDefault="003145EA" w:rsidP="00ED3D43">
      <w:pPr>
        <w:jc w:val="both"/>
        <w:rPr>
          <w:rFonts w:eastAsiaTheme="minorHAnsi"/>
          <w:color w:val="000000"/>
          <w:lang w:eastAsia="en-US"/>
        </w:rPr>
      </w:pPr>
      <w:r w:rsidRPr="00985E27">
        <w:rPr>
          <w:rFonts w:eastAsiaTheme="minorHAnsi"/>
          <w:color w:val="000000"/>
          <w:lang w:eastAsia="en-US"/>
        </w:rPr>
        <w:t xml:space="preserve">Изпълнението на стратегическата цел изисква </w:t>
      </w:r>
      <w:r w:rsidRPr="0065520F">
        <w:rPr>
          <w:rFonts w:eastAsiaTheme="minorHAnsi"/>
          <w:color w:val="000000"/>
          <w:lang w:eastAsia="en-US"/>
        </w:rPr>
        <w:t xml:space="preserve">значително модернизиране на съществуващата   инфраструктура и реализиране на пакет от научноизследователски програми в следните направления: </w:t>
      </w:r>
    </w:p>
    <w:p w:rsidR="003145EA" w:rsidRPr="00985E27" w:rsidRDefault="003145EA" w:rsidP="00BF1361">
      <w:pPr>
        <w:pStyle w:val="ListParagraph"/>
        <w:numPr>
          <w:ilvl w:val="0"/>
          <w:numId w:val="5"/>
        </w:num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t>Прецизно и изчерпателно дефиниране на етиологичните агенти в гостоприемника и в околната среда;</w:t>
      </w:r>
    </w:p>
    <w:p w:rsidR="003145EA" w:rsidRPr="00985E27" w:rsidRDefault="003145EA" w:rsidP="00BF1361">
      <w:pPr>
        <w:pStyle w:val="ListParagraph"/>
        <w:numPr>
          <w:ilvl w:val="0"/>
          <w:numId w:val="5"/>
        </w:num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t>Молекулярно-епидемиологичен анализ на социално значими инфекции;</w:t>
      </w:r>
    </w:p>
    <w:p w:rsidR="003145EA" w:rsidRPr="00985E27" w:rsidRDefault="003145EA" w:rsidP="00BF1361">
      <w:pPr>
        <w:pStyle w:val="ListParagraph"/>
        <w:numPr>
          <w:ilvl w:val="0"/>
          <w:numId w:val="5"/>
        </w:num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t>Характеризиране на лекарствената резистентност на инфекциозните причинители;</w:t>
      </w:r>
    </w:p>
    <w:p w:rsidR="003145EA" w:rsidRPr="00985E27" w:rsidRDefault="003145EA" w:rsidP="00BF1361">
      <w:pPr>
        <w:pStyle w:val="ListParagraph"/>
        <w:numPr>
          <w:ilvl w:val="0"/>
          <w:numId w:val="5"/>
        </w:num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t>Изследване на ролята на генетичния и имунологичен „фон“</w:t>
      </w:r>
      <w:r w:rsidR="000533BE">
        <w:rPr>
          <w:rFonts w:eastAsiaTheme="minorHAnsi"/>
          <w:color w:val="000000"/>
          <w:lang w:eastAsia="en-US"/>
        </w:rPr>
        <w:t xml:space="preserve"> </w:t>
      </w:r>
      <w:r w:rsidRPr="0065520F">
        <w:rPr>
          <w:rFonts w:eastAsiaTheme="minorHAnsi"/>
          <w:color w:val="000000"/>
          <w:lang w:eastAsia="en-US"/>
        </w:rPr>
        <w:t>на гостоприемника за развитието на инфекциозна и постинфекциозна патология.</w:t>
      </w:r>
      <w:r w:rsidRPr="00985E27">
        <w:rPr>
          <w:rFonts w:eastAsiaTheme="minorHAnsi"/>
          <w:color w:val="000000"/>
          <w:lang w:eastAsia="en-US"/>
        </w:rPr>
        <w:t xml:space="preserve"> </w:t>
      </w:r>
    </w:p>
    <w:p w:rsidR="007021EA" w:rsidRPr="00985E27" w:rsidRDefault="007021EA" w:rsidP="00ED3D43">
      <w:pPr>
        <w:jc w:val="both"/>
        <w:rPr>
          <w:rFonts w:eastAsiaTheme="minorHAnsi"/>
          <w:color w:val="000000"/>
          <w:lang w:eastAsia="en-US"/>
        </w:rPr>
      </w:pPr>
    </w:p>
    <w:p w:rsidR="003145EA" w:rsidRPr="00985E27" w:rsidRDefault="007021EA" w:rsidP="00BF1361">
      <w:pPr>
        <w:pStyle w:val="ListParagraph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985E27">
        <w:rPr>
          <w:rFonts w:eastAsiaTheme="minorHAnsi"/>
          <w:b/>
          <w:lang w:eastAsia="en-US"/>
        </w:rPr>
        <w:t>ОСНОВНИ ДЕЙНОСТИ ПО ПРОЕКТА</w:t>
      </w:r>
    </w:p>
    <w:p w:rsidR="007021EA" w:rsidRPr="00985E27" w:rsidRDefault="007021EA" w:rsidP="007021EA">
      <w:pPr>
        <w:pStyle w:val="ListParagraph"/>
        <w:jc w:val="both"/>
        <w:rPr>
          <w:rFonts w:eastAsiaTheme="minorHAnsi"/>
          <w:b/>
          <w:lang w:eastAsia="en-US"/>
        </w:rPr>
      </w:pP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rPr>
          <w:rFonts w:eastAsiaTheme="minorHAnsi"/>
          <w:lang w:eastAsia="en-US"/>
        </w:rPr>
        <w:t>Модернизиране на научноизследователската инфраструктура в Центъра за компетентност;</w:t>
      </w: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t>Идентификация на микроорганизми и анализи на циркулиращите в страната патогени (РП1);</w:t>
      </w: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t>Проучвания върху лекарствената резистентност на патогенни микроорганизми (РП2);</w:t>
      </w: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t>Изследване на имунния отговор срещу микроорганизми (РП3);</w:t>
      </w: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t>Създаване на биологична банка за патогенни микроорганизми и клинични материали;</w:t>
      </w:r>
    </w:p>
    <w:p w:rsidR="003145EA" w:rsidRPr="00985E27" w:rsidRDefault="003145EA" w:rsidP="00866754">
      <w:pPr>
        <w:pStyle w:val="ListParagraph"/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85E27">
        <w:t>Разпространение на резултатите от научните изследвания;</w:t>
      </w:r>
    </w:p>
    <w:p w:rsidR="003145EA" w:rsidRPr="0065520F" w:rsidRDefault="003145EA" w:rsidP="00866754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985E27">
        <w:t>Трансфер на знания и осигуряване на специализирани научно-изследователски услуги;</w:t>
      </w:r>
    </w:p>
    <w:p w:rsidR="003145EA" w:rsidRPr="0065520F" w:rsidRDefault="003145EA" w:rsidP="00866754">
      <w:pPr>
        <w:pStyle w:val="ListParagraph"/>
        <w:numPr>
          <w:ilvl w:val="0"/>
          <w:numId w:val="19"/>
        </w:numPr>
        <w:jc w:val="both"/>
      </w:pPr>
      <w:r w:rsidRPr="00985E27">
        <w:t>Организация и у</w:t>
      </w:r>
      <w:r w:rsidRPr="0065520F">
        <w:t>правление на проекта</w:t>
      </w:r>
      <w:r w:rsidRPr="00985E27">
        <w:t>;</w:t>
      </w:r>
    </w:p>
    <w:p w:rsidR="003145EA" w:rsidRPr="0065520F" w:rsidRDefault="003145EA" w:rsidP="00866754">
      <w:pPr>
        <w:pStyle w:val="ListParagraph"/>
        <w:numPr>
          <w:ilvl w:val="0"/>
          <w:numId w:val="19"/>
        </w:numPr>
        <w:jc w:val="both"/>
      </w:pPr>
      <w:r w:rsidRPr="0065520F">
        <w:t>Дейности по информиране и публичност</w:t>
      </w:r>
      <w:r w:rsidRPr="00985E27">
        <w:t>;</w:t>
      </w:r>
    </w:p>
    <w:p w:rsidR="003145EA" w:rsidRPr="0065520F" w:rsidRDefault="003145EA" w:rsidP="00866754">
      <w:pPr>
        <w:pStyle w:val="ListParagraph"/>
        <w:numPr>
          <w:ilvl w:val="0"/>
          <w:numId w:val="19"/>
        </w:numPr>
        <w:jc w:val="both"/>
      </w:pPr>
      <w:r w:rsidRPr="0065520F">
        <w:t>Дейности по независим външен одит</w:t>
      </w:r>
      <w:r w:rsidRPr="00985E27">
        <w:t>.</w:t>
      </w:r>
    </w:p>
    <w:p w:rsidR="007021EA" w:rsidRPr="00985E27" w:rsidRDefault="007021EA" w:rsidP="00ED3D43">
      <w:pPr>
        <w:jc w:val="both"/>
      </w:pPr>
    </w:p>
    <w:p w:rsidR="003145EA" w:rsidRPr="009607CD" w:rsidRDefault="003145EA" w:rsidP="00ED3D43">
      <w:pPr>
        <w:jc w:val="both"/>
      </w:pPr>
      <w:r w:rsidRPr="009607CD">
        <w:t>Изпълнението на основните дейности по проекта обхваща следните етапи и задачи:</w:t>
      </w:r>
    </w:p>
    <w:p w:rsidR="005778E3" w:rsidRPr="00985E27" w:rsidRDefault="005778E3" w:rsidP="00ED3D43">
      <w:pPr>
        <w:jc w:val="both"/>
        <w:rPr>
          <w:rFonts w:eastAsiaTheme="minorHAnsi"/>
          <w:lang w:eastAsia="en-US"/>
        </w:rPr>
      </w:pPr>
    </w:p>
    <w:p w:rsidR="003145EA" w:rsidRPr="00985E27" w:rsidRDefault="003145EA" w:rsidP="00BF1361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rFonts w:eastAsiaTheme="minorHAnsi"/>
          <w:b/>
          <w:lang w:eastAsia="en-US"/>
        </w:rPr>
        <w:t>Модернизиране на научноизследователската инфраструктура в Центъра за компетентност</w:t>
      </w:r>
    </w:p>
    <w:p w:rsidR="005778E3" w:rsidRPr="00985E27" w:rsidRDefault="005778E3" w:rsidP="00ED3D43">
      <w:pPr>
        <w:jc w:val="both"/>
        <w:rPr>
          <w:rFonts w:eastAsia="TimesNewRomanPSMT"/>
        </w:rPr>
      </w:pPr>
    </w:p>
    <w:p w:rsidR="003145EA" w:rsidRDefault="003145EA" w:rsidP="005778E3">
      <w:pPr>
        <w:jc w:val="both"/>
        <w:rPr>
          <w:rFonts w:eastAsia="TimesNewRomanPSMT"/>
        </w:rPr>
      </w:pPr>
      <w:r w:rsidRPr="0065520F">
        <w:rPr>
          <w:rFonts w:eastAsia="TimesNewRomanPSMT"/>
        </w:rPr>
        <w:t>Изграждането на</w:t>
      </w:r>
      <w:r w:rsidRPr="00985E27">
        <w:rPr>
          <w:rFonts w:eastAsia="TimesNewRomanPSMT"/>
        </w:rPr>
        <w:t xml:space="preserve"> Ц</w:t>
      </w:r>
      <w:r w:rsidRPr="0065520F">
        <w:rPr>
          <w:rFonts w:eastAsia="TimesNewRomanPSMT"/>
        </w:rPr>
        <w:t>ентър</w:t>
      </w:r>
      <w:r w:rsidR="00D14BAF">
        <w:rPr>
          <w:rFonts w:eastAsia="TimesNewRomanPSMT"/>
        </w:rPr>
        <w:t>а</w:t>
      </w:r>
      <w:r w:rsidRPr="0065520F">
        <w:rPr>
          <w:rFonts w:eastAsia="TimesNewRomanPSMT"/>
        </w:rPr>
        <w:t xml:space="preserve"> за компетентност ще включва закупуване и инсталиране на основно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специализирано обурудване, организирано в няколко функционално и териториално обособени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звена и предхождано от необходимите за целта строително-монтажни дейности. Заедно с това</w:t>
      </w:r>
      <w:r w:rsidRPr="00985E27">
        <w:rPr>
          <w:rFonts w:eastAsia="TimesNewRomanPSMT"/>
        </w:rPr>
        <w:t>,</w:t>
      </w:r>
      <w:r w:rsidRPr="0065520F">
        <w:rPr>
          <w:rFonts w:eastAsia="TimesNewRomanPSMT"/>
        </w:rPr>
        <w:t xml:space="preserve"> ще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се извърши доокомплектоване с помощно лабораторно оборудване и информационно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осигуряване.</w:t>
      </w:r>
      <w:r w:rsidRPr="00985E27">
        <w:rPr>
          <w:rFonts w:eastAsia="TimesNewRomanPSMT"/>
        </w:rPr>
        <w:t xml:space="preserve"> </w:t>
      </w:r>
      <w:r w:rsidR="00D14BAF" w:rsidRPr="005E32E1">
        <w:rPr>
          <w:rFonts w:eastAsia="TimesNewRomanPSMT"/>
        </w:rPr>
        <w:lastRenderedPageBreak/>
        <w:t>П</w:t>
      </w:r>
      <w:r w:rsidR="00D14BAF">
        <w:rPr>
          <w:rFonts w:eastAsia="TimesNewRomanPSMT"/>
        </w:rPr>
        <w:t>роектът предвижда</w:t>
      </w:r>
      <w:r w:rsidRPr="005E32E1">
        <w:rPr>
          <w:rFonts w:eastAsia="TimesNewRomanPSMT"/>
        </w:rPr>
        <w:t xml:space="preserve"> само </w:t>
      </w:r>
      <w:r w:rsidR="005452EB">
        <w:rPr>
          <w:rFonts w:eastAsia="TimesNewRomanPSMT"/>
        </w:rPr>
        <w:t xml:space="preserve">ремонт, </w:t>
      </w:r>
      <w:r w:rsidRPr="005E32E1">
        <w:rPr>
          <w:rFonts w:eastAsia="TimesNewRomanPSMT"/>
        </w:rPr>
        <w:t>преоборудване и доокомплектоване на</w:t>
      </w:r>
      <w:r w:rsidRPr="00985E27">
        <w:rPr>
          <w:rFonts w:eastAsia="TimesNewRomanPSMT"/>
        </w:rPr>
        <w:t xml:space="preserve"> </w:t>
      </w:r>
      <w:r w:rsidRPr="005E32E1">
        <w:rPr>
          <w:rFonts w:eastAsia="TimesNewRomanPSMT"/>
        </w:rPr>
        <w:t>съществуващи</w:t>
      </w:r>
      <w:r w:rsidRPr="00985E27">
        <w:rPr>
          <w:rFonts w:eastAsia="TimesNewRomanPSMT"/>
        </w:rPr>
        <w:t xml:space="preserve"> лаборатории.</w:t>
      </w:r>
    </w:p>
    <w:p w:rsidR="00962A50" w:rsidRDefault="00962A50" w:rsidP="005778E3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</w:t>
      </w:r>
      <w:r w:rsidR="008F35E4">
        <w:rPr>
          <w:rFonts w:eastAsia="TimesNewRomanPSMT"/>
        </w:rPr>
        <w:t>ите, включени в етапа</w:t>
      </w:r>
      <w:r>
        <w:rPr>
          <w:rFonts w:eastAsia="TimesNewRomanPSMT"/>
        </w:rPr>
        <w:t xml:space="preserve"> – 60 месеца.</w:t>
      </w:r>
    </w:p>
    <w:p w:rsidR="00962A50" w:rsidRPr="00962A50" w:rsidRDefault="00962A50" w:rsidP="005778E3">
      <w:pPr>
        <w:jc w:val="both"/>
        <w:rPr>
          <w:rFonts w:eastAsia="TimesNewRomanPSMT"/>
        </w:rPr>
      </w:pPr>
      <w:r>
        <w:rPr>
          <w:rFonts w:eastAsia="TimesNewRomanPSMT"/>
        </w:rPr>
        <w:t>Прогнозна стойност на дейностите, включени в етап</w:t>
      </w:r>
      <w:r w:rsidR="008F35E4">
        <w:rPr>
          <w:rFonts w:eastAsia="TimesNewRomanPSMT"/>
        </w:rPr>
        <w:t>а</w:t>
      </w:r>
      <w:r>
        <w:rPr>
          <w:rFonts w:eastAsia="TimesNewRomanPSMT"/>
        </w:rPr>
        <w:t xml:space="preserve"> - </w:t>
      </w:r>
      <w:r w:rsidR="0065196B">
        <w:rPr>
          <w:rFonts w:eastAsia="TimesNewRomanPSMT"/>
        </w:rPr>
        <w:t>18 163 742.00</w:t>
      </w:r>
      <w:r w:rsidRPr="00D4246D">
        <w:rPr>
          <w:rFonts w:eastAsia="TimesNewRomanPSMT"/>
        </w:rPr>
        <w:t>лв.</w:t>
      </w:r>
    </w:p>
    <w:p w:rsidR="003145EA" w:rsidRPr="00985E27" w:rsidRDefault="003145EA" w:rsidP="005778E3">
      <w:pPr>
        <w:jc w:val="both"/>
        <w:rPr>
          <w:rFonts w:eastAsia="TimesNewRomanPSMT"/>
        </w:rPr>
      </w:pPr>
      <w:r w:rsidRPr="00985E27">
        <w:rPr>
          <w:rFonts w:eastAsia="TimesNewRomanPSMT"/>
        </w:rPr>
        <w:tab/>
      </w:r>
    </w:p>
    <w:p w:rsidR="003145EA" w:rsidRPr="00985E27" w:rsidRDefault="003145EA" w:rsidP="00BF1361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b/>
        </w:rPr>
        <w:t>Идентификация на микроорганизми и анализи на циркулиращите в страната патогени (РП1)</w:t>
      </w:r>
    </w:p>
    <w:p w:rsidR="003145EA" w:rsidRDefault="003145EA" w:rsidP="005778E3">
      <w:pPr>
        <w:jc w:val="both"/>
        <w:rPr>
          <w:rFonts w:eastAsia="TimesNewRomanPSMT"/>
        </w:rPr>
      </w:pPr>
      <w:r w:rsidRPr="001D7BD7">
        <w:rPr>
          <w:rFonts w:eastAsia="TimesNewRomanPSMT"/>
        </w:rPr>
        <w:t>Вирусологичен мониторинг при пациенти с НІ</w:t>
      </w:r>
      <w:r w:rsidRPr="001D7BD7">
        <w:rPr>
          <w:rFonts w:eastAsia="TimesNewRomanPSMT"/>
          <w:lang w:val="en-US"/>
        </w:rPr>
        <w:t>V</w:t>
      </w:r>
      <w:r w:rsidRPr="001D7BD7">
        <w:rPr>
          <w:rFonts w:eastAsia="TimesNewRomanPSMT"/>
        </w:rPr>
        <w:t xml:space="preserve"> и хепатитни вируси; анализ на ефекта от антиретров</w:t>
      </w:r>
      <w:r w:rsidR="0028795B" w:rsidRPr="001D7BD7">
        <w:rPr>
          <w:rFonts w:eastAsia="TimesNewRomanPSMT"/>
        </w:rPr>
        <w:t>и</w:t>
      </w:r>
      <w:r w:rsidRPr="001D7BD7">
        <w:rPr>
          <w:rFonts w:eastAsia="TimesNewRomanPSMT"/>
        </w:rPr>
        <w:t>русната</w:t>
      </w:r>
      <w:r w:rsidRPr="0065520F">
        <w:rPr>
          <w:rFonts w:eastAsia="TimesNewRomanPSMT"/>
        </w:rPr>
        <w:t xml:space="preserve"> терапия. Анализ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генетичната характеристика, произхода и еволюционната история на въведените в популацията</w:t>
      </w:r>
      <w:r w:rsidRPr="00985E27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HIV</w:t>
      </w:r>
      <w:r w:rsidRPr="0065520F">
        <w:rPr>
          <w:rFonts w:eastAsia="TimesNewRomanPSMT"/>
        </w:rPr>
        <w:t xml:space="preserve">-1 щамове. Проучване на генотипното разнообразие на </w:t>
      </w:r>
      <w:r w:rsidRPr="00985E27">
        <w:rPr>
          <w:rFonts w:eastAsia="TimesNewRomanPSMT"/>
          <w:lang w:val="en-US"/>
        </w:rPr>
        <w:t>HBV</w:t>
      </w:r>
      <w:r w:rsidRPr="0065520F">
        <w:rPr>
          <w:rFonts w:eastAsia="TimesNewRomanPSMT"/>
        </w:rPr>
        <w:t xml:space="preserve"> и </w:t>
      </w:r>
      <w:r w:rsidRPr="00985E27">
        <w:rPr>
          <w:rFonts w:eastAsia="TimesNewRomanPSMT"/>
          <w:lang w:val="en-US"/>
        </w:rPr>
        <w:t>HCV</w:t>
      </w:r>
      <w:r w:rsidRPr="0065520F">
        <w:rPr>
          <w:rFonts w:eastAsia="TimesNewRomanPSMT"/>
        </w:rPr>
        <w:t xml:space="preserve"> при наивни, моно- и ко-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инфектирани пациенти. Разработване на препоръки за имунизиране и терапевтични схеми.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Определяне на геномната характеристика на циркулиращите в страната щамове на </w:t>
      </w:r>
      <w:r w:rsidRPr="00985E27">
        <w:rPr>
          <w:rFonts w:eastAsia="TimesNewRomanPSMT"/>
          <w:lang w:val="en-US"/>
        </w:rPr>
        <w:t>HEV</w:t>
      </w:r>
      <w:r w:rsidRPr="0065520F">
        <w:rPr>
          <w:rFonts w:eastAsia="TimesNewRomanPSMT"/>
        </w:rPr>
        <w:t xml:space="preserve"> в човешка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 животинска популация; проучване природните резервоари и трансмисионни пътища.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Идентификация, типиране и субтипиране на циркулиращите в страната респираторни вируси;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изследване на мутации, свързани с повишена вирулентност и резистентност към антивирусни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препарати. Наблюдение на циркулацията и анализ на генотипната принадлежност на вирусите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морбили, паротит, рубеола и парвовирус В19 в страната пътищата на внос, както и възникващите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постинфекциозни и постваксинални усложнения. Идентифициране и характеризиране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циркулиращите херпесни вируси чрез секвениране на вирусния геном, в т.ч. и на участъци от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генома, важни за диагностиката и терапията. Идентификация, типиране и субтипиране на</w:t>
      </w:r>
      <w:r w:rsidRPr="00985E27">
        <w:rPr>
          <w:rFonts w:eastAsia="TimesNewRomanPSMT"/>
        </w:rPr>
        <w:t xml:space="preserve"> ц</w:t>
      </w:r>
      <w:r w:rsidRPr="0065520F">
        <w:rPr>
          <w:rFonts w:eastAsia="TimesNewRomanPSMT"/>
        </w:rPr>
        <w:t>иркулиращите в страната чревни вируси. Ранна и надеждна идентификация и типизиране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арбовируси; разработване на диагностични алгоритми за оценка на риска от разпространение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вирусите, причиняващи тежки хеморагични трески. Насочени изследвания върху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разпространението на основните видове кърлежи, преносители на вируса на ККХТ, и комари,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служещи като вектори за предаване на инфекцията при вносните и местните случаи на денга,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чигунгуня, зика, западно нилска треска в Европа. Сравнителни изследвания върху диагностичните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възможности на наличните тестове. Мониторинг на крайбрежните морски води в зоните за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морски </w:t>
      </w:r>
      <w:proofErr w:type="spellStart"/>
      <w:r w:rsidRPr="0065520F">
        <w:rPr>
          <w:rFonts w:eastAsia="TimesNewRomanPSMT"/>
        </w:rPr>
        <w:t>аквакултури</w:t>
      </w:r>
      <w:proofErr w:type="spellEnd"/>
      <w:r w:rsidRPr="0065520F">
        <w:rPr>
          <w:rFonts w:eastAsia="TimesNewRomanPSMT"/>
        </w:rPr>
        <w:t xml:space="preserve"> в Черно море и на </w:t>
      </w:r>
      <w:proofErr w:type="spellStart"/>
      <w:r w:rsidRPr="0065520F">
        <w:rPr>
          <w:rFonts w:eastAsia="TimesNewRomanPSMT"/>
        </w:rPr>
        <w:t>двучерупчести</w:t>
      </w:r>
      <w:proofErr w:type="spellEnd"/>
      <w:r w:rsidRPr="0065520F">
        <w:rPr>
          <w:rFonts w:eastAsia="TimesNewRomanPSMT"/>
        </w:rPr>
        <w:t xml:space="preserve"> мекотели за контаминация с </w:t>
      </w:r>
      <w:proofErr w:type="spellStart"/>
      <w:r w:rsidRPr="0065520F">
        <w:rPr>
          <w:rFonts w:eastAsia="TimesNewRomanPSMT"/>
        </w:rPr>
        <w:t>Норовируси</w:t>
      </w:r>
      <w:proofErr w:type="spell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(</w:t>
      </w:r>
      <w:proofErr w:type="spellStart"/>
      <w:r w:rsidRPr="00985E27">
        <w:rPr>
          <w:rFonts w:eastAsia="TimesNewRomanPSMT"/>
          <w:lang w:val="en-US"/>
        </w:rPr>
        <w:t>NoV</w:t>
      </w:r>
      <w:proofErr w:type="spellEnd"/>
      <w:r w:rsidRPr="0065520F">
        <w:rPr>
          <w:rFonts w:eastAsia="TimesNewRomanPSMT"/>
        </w:rPr>
        <w:t xml:space="preserve">) и хепатит А, съгласно </w:t>
      </w:r>
      <w:r w:rsidRPr="00985E27">
        <w:rPr>
          <w:rFonts w:eastAsia="TimesNewRomanPSMT"/>
        </w:rPr>
        <w:t>е</w:t>
      </w:r>
      <w:r w:rsidRPr="0065520F">
        <w:rPr>
          <w:rFonts w:eastAsia="TimesNewRomanPSMT"/>
        </w:rPr>
        <w:t>вропейските изисквания. Разработване на бази данни съдържаща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геномни секвенции от идентифицирани и анализирани вирусни щамове циркулиращи в България.</w:t>
      </w:r>
      <w:r w:rsidRPr="00985E27">
        <w:rPr>
          <w:rFonts w:eastAsia="TimesNewRomanPSMT"/>
        </w:rPr>
        <w:t xml:space="preserve"> </w:t>
      </w:r>
      <w:r w:rsidR="00D14BAF" w:rsidRPr="0065520F">
        <w:rPr>
          <w:rFonts w:eastAsia="TimesNewRomanPSMT"/>
        </w:rPr>
        <w:t>Видова идентификация на з</w:t>
      </w:r>
      <w:r w:rsidRPr="0065520F">
        <w:rPr>
          <w:rFonts w:eastAsia="TimesNewRomanPSMT"/>
        </w:rPr>
        <w:t>начими за човешката патология нетуберкулозни микобактерии.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Молекулярен мониторинг на генотиповете на туберкулоза в България. Морфологичен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количествен ДНК анализ на латентния микробиом при пациенти с латентна туберкулоза.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Молекулярен мониторинг на генотиповете на най – честите причинители на бактериални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менингити в България. Цялостно геномно секвениране на бактериални изолати от храни,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хранителни токсикоинфекции и хранителни интоксикации. </w:t>
      </w:r>
      <w:r w:rsidRPr="00985E27">
        <w:rPr>
          <w:rFonts w:eastAsia="TimesNewRomanPSMT"/>
        </w:rPr>
        <w:t>Р</w:t>
      </w:r>
      <w:r w:rsidRPr="0065520F">
        <w:rPr>
          <w:rFonts w:eastAsia="TimesNewRomanPSMT"/>
        </w:rPr>
        <w:t>азработване на имуноензимен тест с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рекомбинантни антигени за повишаване качеството на серологичната диагностика на Лаймската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борелиоза. Изпитване и въвеждане на съвременна молекулярно-генетична система за надеждна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бърза (до 2 часа) детекция и идентификация на причинители на ООИ. Проучване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възможности</w:t>
      </w:r>
      <w:r w:rsidR="005452EB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за идентификация </w:t>
      </w:r>
      <w:r w:rsidR="005452EB">
        <w:rPr>
          <w:rFonts w:eastAsia="TimesNewRomanPSMT"/>
        </w:rPr>
        <w:t xml:space="preserve">на </w:t>
      </w:r>
      <w:r w:rsidRPr="0065520F">
        <w:rPr>
          <w:rFonts w:eastAsia="TimesNewRomanPSMT"/>
        </w:rPr>
        <w:t xml:space="preserve">нововъзникващия патоген </w:t>
      </w:r>
      <w:r w:rsidRPr="00985E27">
        <w:rPr>
          <w:rFonts w:eastAsia="TimesNewRomanPSMT"/>
          <w:lang w:val="en-US"/>
        </w:rPr>
        <w:t>Candida</w:t>
      </w:r>
      <w:r w:rsidRPr="0065520F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auris</w:t>
      </w:r>
      <w:proofErr w:type="spellEnd"/>
      <w:r w:rsidRPr="0065520F">
        <w:rPr>
          <w:rFonts w:eastAsia="TimesNewRomanPSMT"/>
        </w:rPr>
        <w:t>. Идентификация, анализ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 паразити и молекулярна епидемиология на паразитозите в България. Изследване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генетичните и биологични основи на микробната активност в механизмите на колонизация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органи и системи, като част от процесите на естествена защита на организма, както и при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процесите на патогенеза, онкогенеза. Научно-обоснована оценка на нови кандидат-пробиотични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щамове, съгласно критериите на СЗО и ЕФСА.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Проучване на контаминирането на питейните води с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паразитни и вирусни инвазионни елементи. Молекулярен анализ на инфекциозните заболявания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България на палеопатологичен материал. Цялостно геномно секвениране на </w:t>
      </w:r>
      <w:r w:rsidRPr="00985E27">
        <w:rPr>
          <w:rFonts w:eastAsia="TimesNewRomanPSMT"/>
        </w:rPr>
        <w:t>п</w:t>
      </w:r>
      <w:r w:rsidRPr="0065520F">
        <w:rPr>
          <w:rFonts w:eastAsia="TimesNewRomanPSMT"/>
        </w:rPr>
        <w:t>роизводствени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ваксинални и други щамове с цел охарактеризиране и създаване на "паспорт" на щама. </w:t>
      </w:r>
      <w:r w:rsidRPr="00985E27">
        <w:rPr>
          <w:rFonts w:eastAsia="TimesNewRomanPSMT"/>
          <w:lang w:val="en-US"/>
        </w:rPr>
        <w:t>(</w:t>
      </w:r>
      <w:proofErr w:type="spellStart"/>
      <w:proofErr w:type="gramStart"/>
      <w:r w:rsidRPr="00985E27">
        <w:rPr>
          <w:rFonts w:eastAsia="TimesNewRomanPSMT"/>
          <w:lang w:val="en-US"/>
        </w:rPr>
        <w:t>съвм</w:t>
      </w:r>
      <w:proofErr w:type="spellEnd"/>
      <w:proofErr w:type="gramEnd"/>
      <w:r w:rsidRPr="00985E27">
        <w:rPr>
          <w:rFonts w:eastAsia="TimesNewRomanPSMT"/>
          <w:lang w:val="en-US"/>
        </w:rPr>
        <w:t xml:space="preserve">. </w:t>
      </w:r>
      <w:r w:rsidRPr="00985E27">
        <w:rPr>
          <w:rFonts w:eastAsia="TimesNewRomanPSMT"/>
        </w:rPr>
        <w:t xml:space="preserve">с </w:t>
      </w:r>
      <w:proofErr w:type="spellStart"/>
      <w:r w:rsidRPr="00985E27">
        <w:rPr>
          <w:rFonts w:eastAsia="TimesNewRomanPSMT"/>
          <w:lang w:val="en-US"/>
        </w:rPr>
        <w:t>раб</w:t>
      </w:r>
      <w:proofErr w:type="spellEnd"/>
      <w:r w:rsidRPr="00985E27">
        <w:rPr>
          <w:rFonts w:eastAsia="TimesNewRomanPSMT"/>
          <w:lang w:val="en-US"/>
        </w:rPr>
        <w:t xml:space="preserve">. </w:t>
      </w:r>
      <w:proofErr w:type="spellStart"/>
      <w:r w:rsidRPr="00985E27">
        <w:rPr>
          <w:rFonts w:eastAsia="TimesNewRomanPSMT"/>
          <w:lang w:val="en-US"/>
        </w:rPr>
        <w:t>пакет</w:t>
      </w:r>
      <w:proofErr w:type="spellEnd"/>
      <w:r w:rsidRPr="00985E27">
        <w:rPr>
          <w:rFonts w:eastAsia="TimesNewRomanPSMT"/>
          <w:lang w:val="en-US"/>
        </w:rPr>
        <w:t xml:space="preserve"> 4)</w:t>
      </w:r>
      <w:r w:rsidRPr="00985E27">
        <w:rPr>
          <w:rFonts w:eastAsia="TimesNewRomanPSMT"/>
        </w:rPr>
        <w:t>.</w:t>
      </w:r>
    </w:p>
    <w:p w:rsidR="008F35E4" w:rsidRDefault="008F35E4" w:rsidP="008F35E4">
      <w:pPr>
        <w:jc w:val="both"/>
        <w:rPr>
          <w:rFonts w:eastAsia="TimesNewRomanPSMT"/>
        </w:rPr>
      </w:pPr>
      <w:r>
        <w:rPr>
          <w:rFonts w:eastAsia="TimesNewRomanPSMT"/>
        </w:rPr>
        <w:lastRenderedPageBreak/>
        <w:t>Планирана продължителност на дейностите, включени в етапа – 49 месеца.</w:t>
      </w:r>
    </w:p>
    <w:p w:rsidR="008F35E4" w:rsidRPr="00FC248E" w:rsidRDefault="008F35E4" w:rsidP="008F35E4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F35E4">
        <w:rPr>
          <w:rFonts w:eastAsia="TimesNewRomanPSMT"/>
        </w:rPr>
        <w:t>етап</w:t>
      </w:r>
      <w:r w:rsidRPr="00FC248E">
        <w:rPr>
          <w:rFonts w:eastAsia="TimesNewRomanPSMT"/>
        </w:rPr>
        <w:t xml:space="preserve">а - </w:t>
      </w:r>
      <w:r w:rsidRPr="008F35E4">
        <w:rPr>
          <w:rFonts w:eastAsia="TimesNewRomanPSMT"/>
        </w:rPr>
        <w:t xml:space="preserve"> </w:t>
      </w:r>
      <w:r w:rsidRPr="00D4246D">
        <w:rPr>
          <w:rFonts w:eastAsia="TimesNewRomanPSMT"/>
          <w:lang w:val="en-US"/>
        </w:rPr>
        <w:t>1 461 453.18</w:t>
      </w:r>
      <w:r w:rsidRPr="00D4246D">
        <w:rPr>
          <w:rFonts w:eastAsia="TimesNewRomanPSMT"/>
        </w:rPr>
        <w:t xml:space="preserve"> </w:t>
      </w:r>
      <w:r w:rsidRPr="008F35E4">
        <w:rPr>
          <w:rFonts w:eastAsia="TimesNewRomanPSMT"/>
        </w:rPr>
        <w:t>лв.</w:t>
      </w:r>
    </w:p>
    <w:p w:rsidR="008F35E4" w:rsidRPr="00985E27" w:rsidRDefault="008F35E4" w:rsidP="005778E3">
      <w:pPr>
        <w:jc w:val="both"/>
        <w:rPr>
          <w:rFonts w:eastAsia="TimesNewRomanPSMT"/>
        </w:rPr>
      </w:pPr>
    </w:p>
    <w:p w:rsidR="003145EA" w:rsidRPr="00985E27" w:rsidRDefault="003145EA" w:rsidP="00ED3D43">
      <w:pPr>
        <w:jc w:val="both"/>
        <w:rPr>
          <w:rFonts w:eastAsiaTheme="minorHAnsi"/>
          <w:lang w:eastAsia="en-US"/>
        </w:rPr>
      </w:pPr>
    </w:p>
    <w:p w:rsidR="003145EA" w:rsidRPr="00985E27" w:rsidRDefault="003145EA" w:rsidP="00BF1361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b/>
        </w:rPr>
        <w:t>Проучвания върху лекарствената резистентност на патогенни микроорганизми (РП2)</w:t>
      </w:r>
    </w:p>
    <w:p w:rsidR="003145EA" w:rsidRDefault="003145EA" w:rsidP="00ED3D43">
      <w:pPr>
        <w:jc w:val="both"/>
        <w:rPr>
          <w:rFonts w:eastAsia="TimesNewRomanPSMT"/>
        </w:rPr>
      </w:pPr>
      <w:r w:rsidRPr="00985E27">
        <w:rPr>
          <w:rFonts w:eastAsia="TimesNewRomanPSMT"/>
        </w:rPr>
        <w:t>Молекулярно</w:t>
      </w:r>
      <w:r w:rsidRPr="0065520F">
        <w:rPr>
          <w:rFonts w:eastAsia="TimesNewRomanPSMT"/>
        </w:rPr>
        <w:t xml:space="preserve">-генетично проучване върху механизмите на </w:t>
      </w:r>
      <w:proofErr w:type="spellStart"/>
      <w:r w:rsidRPr="0065520F">
        <w:rPr>
          <w:rFonts w:eastAsia="TimesNewRomanPSMT"/>
        </w:rPr>
        <w:t>антимикробна</w:t>
      </w:r>
      <w:proofErr w:type="spellEnd"/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резистентност</w:t>
      </w:r>
      <w:proofErr w:type="spellEnd"/>
      <w:r w:rsidRPr="0065520F">
        <w:rPr>
          <w:rFonts w:eastAsia="TimesNewRomanPSMT"/>
        </w:rPr>
        <w:t xml:space="preserve"> и техните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вектори при клинично значими </w:t>
      </w:r>
      <w:r w:rsidRPr="00985E27">
        <w:rPr>
          <w:rFonts w:eastAsia="TimesNewRomanPSMT"/>
          <w:lang w:val="en-US"/>
        </w:rPr>
        <w:t>G</w:t>
      </w:r>
      <w:r w:rsidRPr="0065520F">
        <w:rPr>
          <w:rFonts w:eastAsia="TimesNewRomanPSMT"/>
        </w:rPr>
        <w:t xml:space="preserve">- и </w:t>
      </w:r>
      <w:r w:rsidRPr="00985E27">
        <w:rPr>
          <w:rFonts w:eastAsia="TimesNewRomanPSMT"/>
          <w:lang w:val="en-US"/>
        </w:rPr>
        <w:t>G</w:t>
      </w:r>
      <w:r w:rsidRPr="0065520F">
        <w:rPr>
          <w:rFonts w:eastAsia="TimesNewRomanPSMT"/>
        </w:rPr>
        <w:t>+ бактерии: (сем.</w:t>
      </w:r>
      <w:proofErr w:type="spellStart"/>
      <w:r w:rsidRPr="00985E27">
        <w:rPr>
          <w:rFonts w:eastAsia="TimesNewRomanPSMT"/>
          <w:lang w:val="en-US"/>
        </w:rPr>
        <w:t>Enterobacteriaceae</w:t>
      </w:r>
      <w:proofErr w:type="spellEnd"/>
      <w:r w:rsidRPr="0065520F">
        <w:rPr>
          <w:rFonts w:eastAsia="TimesNewRomanPSMT"/>
        </w:rPr>
        <w:t xml:space="preserve">, </w:t>
      </w:r>
      <w:proofErr w:type="spellStart"/>
      <w:r w:rsidRPr="0065520F">
        <w:rPr>
          <w:rFonts w:eastAsia="TimesNewRomanPSMT"/>
        </w:rPr>
        <w:t>неферментативни</w:t>
      </w:r>
      <w:proofErr w:type="spell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бактерии от родовете </w:t>
      </w:r>
      <w:proofErr w:type="spellStart"/>
      <w:r w:rsidRPr="001D7BD7">
        <w:rPr>
          <w:rFonts w:eastAsia="TimesNewRomanPSMT"/>
          <w:i/>
          <w:lang w:val="en-US"/>
        </w:rPr>
        <w:t>Acinetobacter</w:t>
      </w:r>
      <w:proofErr w:type="spellEnd"/>
      <w:r w:rsidR="005452EB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и </w:t>
      </w:r>
      <w:r w:rsidRPr="001D7BD7">
        <w:rPr>
          <w:rFonts w:eastAsia="TimesNewRomanPSMT"/>
          <w:i/>
          <w:lang w:val="en-US"/>
        </w:rPr>
        <w:t>Pseudomonas</w:t>
      </w:r>
      <w:r w:rsidRPr="0065520F">
        <w:rPr>
          <w:rFonts w:eastAsia="TimesNewRomanPSMT"/>
        </w:rPr>
        <w:t xml:space="preserve">, Грам-отрицателни бактериални </w:t>
      </w:r>
      <w:proofErr w:type="spellStart"/>
      <w:r w:rsidRPr="0065520F">
        <w:rPr>
          <w:rFonts w:eastAsia="TimesNewRomanPSMT"/>
        </w:rPr>
        <w:t>изолати</w:t>
      </w:r>
      <w:proofErr w:type="spellEnd"/>
      <w:r w:rsidRPr="0065520F">
        <w:rPr>
          <w:rFonts w:eastAsia="TimesNewRomanPSMT"/>
        </w:rPr>
        <w:t xml:space="preserve"> от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храни, хранителни </w:t>
      </w:r>
      <w:proofErr w:type="spellStart"/>
      <w:r w:rsidRPr="0065520F">
        <w:rPr>
          <w:rFonts w:eastAsia="TimesNewRomanPSMT"/>
        </w:rPr>
        <w:t>токсикоинфекции</w:t>
      </w:r>
      <w:proofErr w:type="spellEnd"/>
      <w:r w:rsidRPr="0065520F">
        <w:rPr>
          <w:rFonts w:eastAsia="TimesNewRomanPSMT"/>
        </w:rPr>
        <w:t xml:space="preserve"> и хранителни интоксикации; Грам-отрицателни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бактериални</w:t>
      </w:r>
      <w:r w:rsidR="005452EB">
        <w:rPr>
          <w:rFonts w:eastAsia="TimesNewRomanPSMT"/>
        </w:rPr>
        <w:t xml:space="preserve"> </w:t>
      </w:r>
      <w:proofErr w:type="spellStart"/>
      <w:r w:rsidR="005452EB" w:rsidRPr="0065520F">
        <w:rPr>
          <w:rFonts w:eastAsia="TimesNewRomanPSMT"/>
        </w:rPr>
        <w:t>изолат</w:t>
      </w:r>
      <w:r w:rsidR="005452EB">
        <w:rPr>
          <w:rFonts w:eastAsia="TimesNewRomanPSMT"/>
        </w:rPr>
        <w:t>и</w:t>
      </w:r>
      <w:proofErr w:type="spellEnd"/>
      <w:r w:rsidR="005452EB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от </w:t>
      </w:r>
      <w:proofErr w:type="spellStart"/>
      <w:r w:rsidRPr="0065520F">
        <w:rPr>
          <w:rFonts w:eastAsia="TimesNewRomanPSMT"/>
        </w:rPr>
        <w:t>животозастрашаващи</w:t>
      </w:r>
      <w:proofErr w:type="spellEnd"/>
      <w:r w:rsidRPr="0065520F">
        <w:rPr>
          <w:rFonts w:eastAsia="TimesNewRomanPSMT"/>
        </w:rPr>
        <w:t xml:space="preserve"> инвазивни инфекции</w:t>
      </w:r>
      <w:r w:rsidR="005452EB">
        <w:rPr>
          <w:rFonts w:eastAsia="TimesNewRomanPSMT"/>
        </w:rPr>
        <w:t>;</w:t>
      </w:r>
      <w:r w:rsidRPr="0065520F">
        <w:rPr>
          <w:rFonts w:eastAsia="TimesNewRomanPSMT"/>
        </w:rPr>
        <w:t xml:space="preserve"> клинични </w:t>
      </w:r>
      <w:proofErr w:type="spellStart"/>
      <w:r w:rsidRPr="0065520F">
        <w:rPr>
          <w:rFonts w:eastAsia="TimesNewRomanPSMT"/>
        </w:rPr>
        <w:t>мултирезистентни</w:t>
      </w:r>
      <w:proofErr w:type="spell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щамове от родовете </w:t>
      </w:r>
      <w:r w:rsidRPr="00985E27">
        <w:rPr>
          <w:rFonts w:eastAsia="TimesNewRomanPSMT"/>
          <w:lang w:val="en-US"/>
        </w:rPr>
        <w:t>Staphylococcus</w:t>
      </w:r>
      <w:r w:rsidRPr="0065520F">
        <w:rPr>
          <w:rFonts w:eastAsia="TimesNewRomanPSMT"/>
        </w:rPr>
        <w:t xml:space="preserve">, </w:t>
      </w:r>
      <w:proofErr w:type="spellStart"/>
      <w:r w:rsidRPr="00985E27">
        <w:rPr>
          <w:rFonts w:eastAsia="TimesNewRomanPSMT"/>
          <w:lang w:val="en-US"/>
        </w:rPr>
        <w:t>Streprococcus</w:t>
      </w:r>
      <w:proofErr w:type="spellEnd"/>
      <w:r w:rsidRPr="0065520F">
        <w:rPr>
          <w:rFonts w:eastAsia="TimesNewRomanPSMT"/>
        </w:rPr>
        <w:t>,</w:t>
      </w:r>
      <w:proofErr w:type="spellStart"/>
      <w:r w:rsidRPr="00985E27">
        <w:rPr>
          <w:rFonts w:eastAsia="TimesNewRomanPSMT"/>
          <w:lang w:val="en-US"/>
        </w:rPr>
        <w:t>Enteroccoccus</w:t>
      </w:r>
      <w:proofErr w:type="spellEnd"/>
      <w:r w:rsidRPr="0065520F">
        <w:rPr>
          <w:rFonts w:eastAsia="TimesNewRomanPSMT"/>
        </w:rPr>
        <w:t xml:space="preserve">, </w:t>
      </w:r>
      <w:r w:rsidRPr="00985E27">
        <w:rPr>
          <w:rFonts w:eastAsia="TimesNewRomanPSMT"/>
          <w:lang w:val="en-US"/>
        </w:rPr>
        <w:t>Clostridium</w:t>
      </w:r>
      <w:r w:rsidRPr="0065520F">
        <w:rPr>
          <w:rFonts w:eastAsia="TimesNewRomanPSMT"/>
        </w:rPr>
        <w:t>)</w:t>
      </w:r>
      <w:r w:rsidRPr="00985E27">
        <w:rPr>
          <w:rFonts w:eastAsia="TimesNewRomanPSMT"/>
        </w:rPr>
        <w:t>;</w:t>
      </w:r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Фенотипно</w:t>
      </w:r>
      <w:proofErr w:type="spellEnd"/>
      <w:r w:rsidRPr="0065520F">
        <w:rPr>
          <w:rFonts w:eastAsia="TimesNewRomanPSMT"/>
        </w:rPr>
        <w:t xml:space="preserve"> и генетично характеризиране на циркулиращите в България щамове </w:t>
      </w:r>
      <w:r w:rsidRPr="001D7BD7">
        <w:rPr>
          <w:rFonts w:eastAsia="TimesNewRomanPSMT"/>
          <w:i/>
          <w:lang w:val="en-US"/>
        </w:rPr>
        <w:t>N</w:t>
      </w:r>
      <w:r w:rsidRPr="001D7BD7">
        <w:rPr>
          <w:rFonts w:eastAsia="TimesNewRomanPSMT"/>
          <w:i/>
        </w:rPr>
        <w:t>.</w:t>
      </w:r>
      <w:proofErr w:type="spellStart"/>
      <w:r w:rsidRPr="001D7BD7">
        <w:rPr>
          <w:rFonts w:eastAsia="TimesNewRomanPSMT"/>
          <w:i/>
          <w:lang w:val="en-US"/>
        </w:rPr>
        <w:t>gonorrhoeae</w:t>
      </w:r>
      <w:proofErr w:type="spell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връзка увеличаващата се </w:t>
      </w:r>
      <w:proofErr w:type="spellStart"/>
      <w:r w:rsidRPr="0065520F">
        <w:rPr>
          <w:rFonts w:eastAsia="TimesNewRomanPSMT"/>
        </w:rPr>
        <w:t>резистен</w:t>
      </w:r>
      <w:r w:rsidR="005452EB">
        <w:rPr>
          <w:rFonts w:eastAsia="TimesNewRomanPSMT"/>
        </w:rPr>
        <w:t>тн</w:t>
      </w:r>
      <w:r w:rsidRPr="0065520F">
        <w:rPr>
          <w:rFonts w:eastAsia="TimesNewRomanPSMT"/>
        </w:rPr>
        <w:t>ост</w:t>
      </w:r>
      <w:proofErr w:type="spellEnd"/>
      <w:r w:rsidRPr="0065520F">
        <w:rPr>
          <w:rFonts w:eastAsia="TimesNewRomanPSMT"/>
        </w:rPr>
        <w:t xml:space="preserve"> към </w:t>
      </w:r>
      <w:proofErr w:type="spellStart"/>
      <w:r w:rsidRPr="0065520F">
        <w:rPr>
          <w:rFonts w:eastAsia="TimesNewRomanPSMT"/>
        </w:rPr>
        <w:t>цефалоспорини</w:t>
      </w:r>
      <w:proofErr w:type="spellEnd"/>
      <w:r w:rsidRPr="0065520F">
        <w:rPr>
          <w:rFonts w:eastAsia="TimesNewRomanPSMT"/>
        </w:rPr>
        <w:t xml:space="preserve"> от трета генерация. </w:t>
      </w:r>
      <w:r w:rsidRPr="00985E27">
        <w:rPr>
          <w:rFonts w:eastAsia="TimesNewRomanPSMT"/>
        </w:rPr>
        <w:t>Р</w:t>
      </w:r>
      <w:r w:rsidRPr="0065520F">
        <w:rPr>
          <w:rFonts w:eastAsia="TimesNewRomanPSMT"/>
        </w:rPr>
        <w:t>азпространението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 макролидна резисте</w:t>
      </w:r>
      <w:r w:rsidR="005452EB">
        <w:rPr>
          <w:rFonts w:eastAsia="TimesNewRomanPSMT"/>
        </w:rPr>
        <w:t>нт</w:t>
      </w:r>
      <w:r w:rsidRPr="0065520F">
        <w:rPr>
          <w:rFonts w:eastAsia="TimesNewRomanPSMT"/>
        </w:rPr>
        <w:t xml:space="preserve">ност в циркулиращите в България щамове </w:t>
      </w:r>
      <w:r w:rsidRPr="001D7BD7">
        <w:rPr>
          <w:rFonts w:eastAsia="TimesNewRomanPSMT"/>
          <w:i/>
          <w:lang w:val="en-US"/>
        </w:rPr>
        <w:t>Mycoplasma</w:t>
      </w:r>
      <w:r w:rsidRPr="001D7BD7">
        <w:rPr>
          <w:rFonts w:eastAsia="TimesNewRomanPSMT"/>
          <w:i/>
        </w:rPr>
        <w:t xml:space="preserve"> </w:t>
      </w:r>
      <w:proofErr w:type="spellStart"/>
      <w:r w:rsidRPr="001D7BD7">
        <w:rPr>
          <w:rFonts w:eastAsia="TimesNewRomanPSMT"/>
          <w:i/>
          <w:lang w:val="en-US"/>
        </w:rPr>
        <w:t>genitalium</w:t>
      </w:r>
      <w:proofErr w:type="spellEnd"/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Откриване на мутации в гени, асоциирани с резистентността на </w:t>
      </w:r>
      <w:r w:rsidRPr="00985E27">
        <w:rPr>
          <w:rFonts w:eastAsia="TimesNewRomanPSMT"/>
          <w:lang w:val="en-US"/>
        </w:rPr>
        <w:t>M</w:t>
      </w:r>
      <w:r w:rsidRPr="0065520F">
        <w:rPr>
          <w:rFonts w:eastAsia="TimesNewRomanPSMT"/>
        </w:rPr>
        <w:t>/</w:t>
      </w:r>
      <w:r w:rsidRPr="00985E27">
        <w:rPr>
          <w:rFonts w:eastAsia="TimesNewRomanPSMT"/>
          <w:lang w:val="en-US"/>
        </w:rPr>
        <w:t>XDR</w:t>
      </w:r>
      <w:r w:rsidRPr="0065520F">
        <w:rPr>
          <w:rFonts w:eastAsia="TimesNewRomanPSMT"/>
        </w:rPr>
        <w:t>-</w:t>
      </w:r>
      <w:r w:rsidRPr="00985E27">
        <w:rPr>
          <w:rFonts w:eastAsia="TimesNewRomanPSMT"/>
          <w:lang w:val="en-US"/>
        </w:rPr>
        <w:t>TB</w:t>
      </w:r>
      <w:r w:rsidRPr="0065520F">
        <w:rPr>
          <w:rFonts w:eastAsia="TimesNewRomanPSMT"/>
        </w:rPr>
        <w:t xml:space="preserve"> щамовете</w:t>
      </w:r>
      <w:r w:rsidR="005452EB">
        <w:rPr>
          <w:rFonts w:eastAsia="TimesNewRomanPSMT"/>
        </w:rPr>
        <w:t xml:space="preserve"> </w:t>
      </w:r>
      <w:r w:rsidRPr="001D7BD7">
        <w:rPr>
          <w:rFonts w:eastAsia="TimesNewRomanPSMT"/>
          <w:i/>
          <w:lang w:val="en-US"/>
        </w:rPr>
        <w:t>M</w:t>
      </w:r>
      <w:r w:rsidRPr="001D7BD7">
        <w:rPr>
          <w:rFonts w:eastAsia="TimesNewRomanPSMT"/>
          <w:i/>
        </w:rPr>
        <w:t>.</w:t>
      </w:r>
      <w:r w:rsidRPr="001D7BD7">
        <w:rPr>
          <w:rFonts w:eastAsia="TimesNewRomanPSMT"/>
          <w:i/>
          <w:lang w:val="en-US"/>
        </w:rPr>
        <w:t>tuberculosis</w:t>
      </w:r>
      <w:r w:rsidRPr="0065520F">
        <w:rPr>
          <w:rFonts w:eastAsia="TimesNewRomanPSMT"/>
        </w:rPr>
        <w:t>, разпространяващи се на територията на България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Определяне на МИК при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резистентни форми на туберкулоза чрез въвеждане на нов за страната метод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Въвеждане на навременно микробиологично диагностициране на случаите с лепра, </w:t>
      </w:r>
      <w:r w:rsidR="005452EB">
        <w:rPr>
          <w:rFonts w:eastAsia="TimesNewRomanPSMT"/>
        </w:rPr>
        <w:t>въведени</w:t>
      </w:r>
      <w:r w:rsidR="005452EB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>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страната ни </w:t>
      </w:r>
      <w:r w:rsidR="005452EB">
        <w:rPr>
          <w:rFonts w:eastAsia="TimesNewRomanPSMT"/>
        </w:rPr>
        <w:t>от</w:t>
      </w:r>
      <w:r w:rsidR="005452EB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мигранти, чужди граждани или </w:t>
      </w:r>
      <w:r w:rsidR="005452EB">
        <w:rPr>
          <w:rFonts w:eastAsia="TimesNewRomanPSMT"/>
        </w:rPr>
        <w:t>български</w:t>
      </w:r>
      <w:r w:rsidR="005452EB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>граждани, пътували в ендемичните за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болестта региони. Използване на МИК за определяне на лекарствена чувствителност към</w:t>
      </w:r>
      <w:r w:rsidRPr="00985E27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бързорастящи</w:t>
      </w:r>
      <w:proofErr w:type="spellEnd"/>
      <w:r w:rsidRPr="0065520F">
        <w:rPr>
          <w:rFonts w:eastAsia="TimesNewRomanPSMT"/>
        </w:rPr>
        <w:t xml:space="preserve"> и </w:t>
      </w:r>
      <w:proofErr w:type="spellStart"/>
      <w:r w:rsidRPr="0065520F">
        <w:rPr>
          <w:rFonts w:eastAsia="TimesNewRomanPSMT"/>
        </w:rPr>
        <w:t>бавнорастящи</w:t>
      </w:r>
      <w:proofErr w:type="spellEnd"/>
      <w:r w:rsidRPr="0065520F">
        <w:rPr>
          <w:rFonts w:eastAsia="TimesNewRomanPSMT"/>
        </w:rPr>
        <w:t xml:space="preserve"> нетуберкулозни </w:t>
      </w:r>
      <w:proofErr w:type="spellStart"/>
      <w:r w:rsidRPr="0065520F">
        <w:rPr>
          <w:rFonts w:eastAsia="TimesNewRomanPSMT"/>
        </w:rPr>
        <w:t>микобактерии</w:t>
      </w:r>
      <w:proofErr w:type="spellEnd"/>
      <w:r w:rsidRPr="0065520F">
        <w:rPr>
          <w:rFonts w:eastAsia="TimesNewRomanPSMT"/>
        </w:rPr>
        <w:t xml:space="preserve"> чрез въвеждане на нов метод с</w:t>
      </w:r>
      <w:r w:rsidRPr="00985E27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микроплаки</w:t>
      </w:r>
      <w:proofErr w:type="spellEnd"/>
      <w:r w:rsidRPr="00985E27">
        <w:rPr>
          <w:rFonts w:eastAsia="TimesNewRomanPSMT"/>
        </w:rPr>
        <w:t>;</w:t>
      </w:r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Мета-геномен</w:t>
      </w:r>
      <w:proofErr w:type="spellEnd"/>
      <w:r w:rsidRPr="0065520F">
        <w:rPr>
          <w:rFonts w:eastAsia="TimesNewRomanPSMT"/>
        </w:rPr>
        <w:t xml:space="preserve"> анализ на проби от канални води</w:t>
      </w:r>
      <w:r w:rsidR="00FE4DA1">
        <w:rPr>
          <w:rFonts w:eastAsia="TimesNewRomanPSMT"/>
        </w:rPr>
        <w:t xml:space="preserve">, </w:t>
      </w:r>
      <w:r w:rsidRPr="0065520F">
        <w:rPr>
          <w:rFonts w:eastAsia="TimesNewRomanPSMT"/>
        </w:rPr>
        <w:t>болници,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животински ферми и пречиствателни станции с цел проучване наличието, разнообразието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честотата на </w:t>
      </w:r>
      <w:r w:rsidR="00FE4DA1" w:rsidRPr="00FE4DA1">
        <w:rPr>
          <w:rFonts w:eastAsia="TimesNewRomanPSMT"/>
        </w:rPr>
        <w:t>циркулиращите</w:t>
      </w:r>
      <w:r w:rsidR="00FE4DA1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гени и генни мутации обуславящи </w:t>
      </w:r>
      <w:proofErr w:type="spellStart"/>
      <w:r w:rsidR="00FE4DA1" w:rsidRPr="00FE4DA1">
        <w:rPr>
          <w:rFonts w:eastAsia="TimesNewRomanPSMT"/>
        </w:rPr>
        <w:t>антимикробна</w:t>
      </w:r>
      <w:proofErr w:type="spellEnd"/>
      <w:r w:rsidR="00FE4DA1" w:rsidRPr="00FE4DA1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резистентност</w:t>
      </w:r>
      <w:proofErr w:type="spellEnd"/>
      <w:r w:rsidR="00FE4DA1">
        <w:rPr>
          <w:rFonts w:eastAsia="TimesNewRomanPSMT"/>
        </w:rPr>
        <w:t xml:space="preserve">  </w:t>
      </w:r>
      <w:r w:rsidR="00FE4DA1" w:rsidRPr="00FE4DA1">
        <w:rPr>
          <w:rFonts w:eastAsia="TimesNewRomanPSMT"/>
        </w:rPr>
        <w:t>(в колаборация с Работен пакет 1)</w:t>
      </w:r>
      <w:r w:rsidRPr="00985E27">
        <w:rPr>
          <w:rFonts w:eastAsia="TimesNewRomanPSMT"/>
        </w:rPr>
        <w:t xml:space="preserve">; </w:t>
      </w:r>
      <w:proofErr w:type="spellStart"/>
      <w:r w:rsidRPr="0065520F">
        <w:rPr>
          <w:rFonts w:eastAsia="TimesNewRomanPSMT"/>
        </w:rPr>
        <w:t>Фенотипно</w:t>
      </w:r>
      <w:proofErr w:type="spellEnd"/>
      <w:r w:rsidRPr="0065520F">
        <w:rPr>
          <w:rFonts w:eastAsia="TimesNewRomanPSMT"/>
        </w:rPr>
        <w:t xml:space="preserve"> и генетично охарактеризиране на циркулиращите в България медицински значими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щамове дрожди от род </w:t>
      </w:r>
      <w:r w:rsidRPr="001D7BD7">
        <w:rPr>
          <w:rFonts w:eastAsia="TimesNewRomanPSMT"/>
          <w:i/>
          <w:lang w:val="en-US"/>
        </w:rPr>
        <w:t>Candida</w:t>
      </w:r>
      <w:r w:rsidRPr="001D7BD7">
        <w:rPr>
          <w:rFonts w:eastAsia="TimesNewRomanPSMT"/>
          <w:i/>
        </w:rPr>
        <w:t xml:space="preserve"> </w:t>
      </w:r>
      <w:r w:rsidRPr="0065520F">
        <w:rPr>
          <w:rFonts w:eastAsia="TimesNewRomanPSMT"/>
        </w:rPr>
        <w:t xml:space="preserve">и род </w:t>
      </w:r>
      <w:r w:rsidRPr="001D7BD7">
        <w:rPr>
          <w:rFonts w:eastAsia="TimesNewRomanPSMT"/>
          <w:i/>
          <w:lang w:val="en-US"/>
        </w:rPr>
        <w:t>Cryptococcu</w:t>
      </w:r>
      <w:r w:rsidRPr="00985E27">
        <w:rPr>
          <w:rFonts w:eastAsia="TimesNewRomanPSMT"/>
          <w:lang w:val="en-US"/>
        </w:rPr>
        <w:t>s</w:t>
      </w:r>
      <w:r w:rsidRPr="0065520F">
        <w:rPr>
          <w:rFonts w:eastAsia="TimesNewRomanPSMT"/>
        </w:rPr>
        <w:t xml:space="preserve">, както и плесени от род </w:t>
      </w:r>
      <w:proofErr w:type="spellStart"/>
      <w:r w:rsidRPr="001D7BD7">
        <w:rPr>
          <w:rFonts w:eastAsia="TimesNewRomanPSMT"/>
          <w:i/>
          <w:lang w:val="en-US"/>
        </w:rPr>
        <w:t>Aspergillus</w:t>
      </w:r>
      <w:proofErr w:type="spellEnd"/>
      <w:r w:rsidRPr="0065520F">
        <w:rPr>
          <w:rFonts w:eastAsia="TimesNewRomanPSMT"/>
        </w:rPr>
        <w:t xml:space="preserve"> във връзка с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увеличаващата се </w:t>
      </w:r>
      <w:proofErr w:type="spellStart"/>
      <w:r w:rsidRPr="0065520F">
        <w:rPr>
          <w:rFonts w:eastAsia="TimesNewRomanPSMT"/>
        </w:rPr>
        <w:t>резис</w:t>
      </w:r>
      <w:r w:rsidR="00D14BAF" w:rsidRPr="0065520F">
        <w:rPr>
          <w:rFonts w:eastAsia="TimesNewRomanPSMT"/>
        </w:rPr>
        <w:t>те</w:t>
      </w:r>
      <w:r w:rsidR="00FE4DA1">
        <w:rPr>
          <w:rFonts w:eastAsia="TimesNewRomanPSMT"/>
        </w:rPr>
        <w:t>н</w:t>
      </w:r>
      <w:r w:rsidR="00D14BAF" w:rsidRPr="0065520F">
        <w:rPr>
          <w:rFonts w:eastAsia="TimesNewRomanPSMT"/>
        </w:rPr>
        <w:t>тност</w:t>
      </w:r>
      <w:proofErr w:type="spellEnd"/>
      <w:r w:rsidR="00D14BAF" w:rsidRPr="0065520F">
        <w:rPr>
          <w:rFonts w:eastAsia="TimesNewRomanPSMT"/>
        </w:rPr>
        <w:t xml:space="preserve"> към </w:t>
      </w:r>
      <w:proofErr w:type="spellStart"/>
      <w:r w:rsidR="00D14BAF" w:rsidRPr="0065520F">
        <w:rPr>
          <w:rFonts w:eastAsia="TimesNewRomanPSMT"/>
        </w:rPr>
        <w:t>азолни</w:t>
      </w:r>
      <w:proofErr w:type="spellEnd"/>
      <w:r w:rsidR="00D14BAF" w:rsidRPr="0065520F">
        <w:rPr>
          <w:rFonts w:eastAsia="TimesNewRomanPSMT"/>
        </w:rPr>
        <w:t xml:space="preserve"> </w:t>
      </w:r>
      <w:proofErr w:type="spellStart"/>
      <w:r w:rsidR="00D14BAF" w:rsidRPr="0065520F">
        <w:rPr>
          <w:rFonts w:eastAsia="TimesNewRomanPSMT"/>
        </w:rPr>
        <w:t>антимикотици</w:t>
      </w:r>
      <w:proofErr w:type="spellEnd"/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Молекулярно-биологични проучвания върху грипни вируси, резистентни към наличните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антивирусни препарати (</w:t>
      </w:r>
      <w:proofErr w:type="spellStart"/>
      <w:r w:rsidRPr="0065520F">
        <w:rPr>
          <w:rFonts w:eastAsia="TimesNewRomanPSMT"/>
        </w:rPr>
        <w:t>невраминидазни</w:t>
      </w:r>
      <w:proofErr w:type="spellEnd"/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инхибитори</w:t>
      </w:r>
      <w:proofErr w:type="spellEnd"/>
      <w:r w:rsidRPr="0065520F">
        <w:rPr>
          <w:rFonts w:eastAsia="TimesNewRomanPSMT"/>
        </w:rPr>
        <w:t>)</w:t>
      </w:r>
      <w:r w:rsidRPr="00985E27">
        <w:rPr>
          <w:rFonts w:eastAsia="TimesNewRomanPSMT"/>
        </w:rPr>
        <w:t>;</w:t>
      </w:r>
      <w:r w:rsidRPr="0065520F">
        <w:rPr>
          <w:rFonts w:eastAsia="TimesNewRomanPSMT"/>
        </w:rPr>
        <w:t xml:space="preserve"> Проучване на разпространението на известни и идентифициране на нови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лекарствени и</w:t>
      </w:r>
      <w:r w:rsidRPr="00985E27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ваксинални</w:t>
      </w:r>
      <w:proofErr w:type="spellEnd"/>
      <w:r w:rsidRPr="0065520F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HBV</w:t>
      </w:r>
      <w:r w:rsidRPr="0065520F">
        <w:rPr>
          <w:rFonts w:eastAsia="TimesNewRomanPSMT"/>
        </w:rPr>
        <w:t xml:space="preserve"> и </w:t>
      </w:r>
      <w:r w:rsidRPr="00985E27">
        <w:rPr>
          <w:rFonts w:eastAsia="TimesNewRomanPSMT"/>
          <w:lang w:val="en-US"/>
        </w:rPr>
        <w:t>HCV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мутанти в българската популация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Контрол на възникващите </w:t>
      </w:r>
      <w:proofErr w:type="spellStart"/>
      <w:r w:rsidRPr="0065520F">
        <w:rPr>
          <w:rFonts w:eastAsia="TimesNewRomanPSMT"/>
        </w:rPr>
        <w:t>ваксино-устойчиви</w:t>
      </w:r>
      <w:proofErr w:type="spellEnd"/>
      <w:r w:rsidRPr="0065520F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HBV</w:t>
      </w:r>
      <w:r w:rsidRPr="0065520F">
        <w:rPr>
          <w:rFonts w:eastAsia="TimesNewRomanPSMT"/>
        </w:rPr>
        <w:t xml:space="preserve"> мутанти на </w:t>
      </w:r>
      <w:proofErr w:type="spellStart"/>
      <w:r w:rsidRPr="0065520F">
        <w:rPr>
          <w:rFonts w:eastAsia="TimesNewRomanPSMT"/>
        </w:rPr>
        <w:t>популационно</w:t>
      </w:r>
      <w:proofErr w:type="spellEnd"/>
      <w:r w:rsidRPr="0065520F">
        <w:rPr>
          <w:rFonts w:eastAsia="TimesNewRomanPSMT"/>
        </w:rPr>
        <w:t xml:space="preserve"> ниво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Идентификация на нововъзникващи лекарствено резистентни мутации при пациенти, при които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не е постигната лекарствена </w:t>
      </w:r>
      <w:proofErr w:type="spellStart"/>
      <w:r w:rsidRPr="0065520F">
        <w:rPr>
          <w:rFonts w:eastAsia="TimesNewRomanPSMT"/>
        </w:rPr>
        <w:t>супресия</w:t>
      </w:r>
      <w:proofErr w:type="spellEnd"/>
      <w:r w:rsidRPr="0065520F">
        <w:rPr>
          <w:rFonts w:eastAsia="TimesNewRomanPSMT"/>
        </w:rPr>
        <w:t xml:space="preserve"> на </w:t>
      </w:r>
      <w:r w:rsidRPr="00985E27">
        <w:rPr>
          <w:rFonts w:eastAsia="TimesNewRomanPSMT"/>
          <w:lang w:val="en-US"/>
        </w:rPr>
        <w:t>HBV</w:t>
      </w:r>
      <w:r w:rsidRPr="0065520F">
        <w:rPr>
          <w:rFonts w:eastAsia="TimesNewRomanPSMT"/>
        </w:rPr>
        <w:t xml:space="preserve"> и </w:t>
      </w:r>
      <w:r w:rsidRPr="00985E27">
        <w:rPr>
          <w:rFonts w:eastAsia="TimesNewRomanPSMT"/>
          <w:lang w:val="en-US"/>
        </w:rPr>
        <w:t>HCV</w:t>
      </w:r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виремия</w:t>
      </w:r>
      <w:proofErr w:type="spellEnd"/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Проучване на разпространението на лекарствена </w:t>
      </w:r>
      <w:proofErr w:type="spellStart"/>
      <w:r w:rsidRPr="0065520F">
        <w:rPr>
          <w:rFonts w:eastAsia="TimesNewRomanPSMT"/>
        </w:rPr>
        <w:t>резистентност</w:t>
      </w:r>
      <w:proofErr w:type="spellEnd"/>
      <w:r w:rsidRPr="0065520F">
        <w:rPr>
          <w:rFonts w:eastAsia="TimesNewRomanPSMT"/>
        </w:rPr>
        <w:t xml:space="preserve"> при пациентите с НІ</w:t>
      </w:r>
      <w:r w:rsidRPr="00985E27">
        <w:rPr>
          <w:rFonts w:eastAsia="TimesNewRomanPSMT"/>
          <w:lang w:val="en-US"/>
        </w:rPr>
        <w:t>V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инфекция, чрез използване на</w:t>
      </w:r>
      <w:r w:rsidR="00FE4DA1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съвременни технологии за </w:t>
      </w:r>
      <w:proofErr w:type="spellStart"/>
      <w:r w:rsidRPr="0065520F">
        <w:rPr>
          <w:rFonts w:eastAsia="TimesNewRomanPSMT"/>
        </w:rPr>
        <w:t>секвениране</w:t>
      </w:r>
      <w:proofErr w:type="spellEnd"/>
      <w:r w:rsidRPr="0065520F">
        <w:rPr>
          <w:rFonts w:eastAsia="TimesNewRomanPSMT"/>
        </w:rPr>
        <w:t xml:space="preserve">, включително </w:t>
      </w:r>
      <w:r w:rsidRPr="00985E27">
        <w:rPr>
          <w:rFonts w:eastAsia="TimesNewRomanPSMT"/>
          <w:lang w:val="en-US"/>
        </w:rPr>
        <w:t>next</w:t>
      </w:r>
      <w:r w:rsidR="00FE4DA1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generation</w:t>
      </w:r>
      <w:r w:rsidR="00FE4DA1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sequencing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(</w:t>
      </w:r>
      <w:r w:rsidRPr="00985E27">
        <w:rPr>
          <w:rFonts w:eastAsia="TimesNewRomanPSMT"/>
          <w:lang w:val="en-US"/>
        </w:rPr>
        <w:t>NGS</w:t>
      </w:r>
      <w:r w:rsidRPr="0065520F">
        <w:rPr>
          <w:rFonts w:eastAsia="TimesNewRomanPSMT"/>
        </w:rPr>
        <w:t>)</w:t>
      </w:r>
      <w:r w:rsidRPr="00985E27">
        <w:rPr>
          <w:rFonts w:eastAsia="TimesNewRomanPSMT"/>
        </w:rPr>
        <w:t>; П</w:t>
      </w:r>
      <w:r w:rsidRPr="0065520F">
        <w:rPr>
          <w:rFonts w:eastAsia="TimesNewRomanPSMT"/>
        </w:rPr>
        <w:t xml:space="preserve">роучване на генетичните детерминанти, обуславящи </w:t>
      </w:r>
      <w:proofErr w:type="spellStart"/>
      <w:r w:rsidRPr="0065520F">
        <w:rPr>
          <w:rFonts w:eastAsia="TimesNewRomanPSMT"/>
        </w:rPr>
        <w:t>резистентност</w:t>
      </w:r>
      <w:proofErr w:type="spellEnd"/>
      <w:r w:rsidRPr="0065520F">
        <w:rPr>
          <w:rFonts w:eastAsia="TimesNewRomanPSMT"/>
        </w:rPr>
        <w:t xml:space="preserve"> към различни класове</w:t>
      </w:r>
      <w:r w:rsidRPr="00985E27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антипротозойни</w:t>
      </w:r>
      <w:proofErr w:type="spellEnd"/>
      <w:r w:rsidRPr="0065520F">
        <w:rPr>
          <w:rFonts w:eastAsia="TimesNewRomanPSMT"/>
        </w:rPr>
        <w:t xml:space="preserve"> и </w:t>
      </w:r>
      <w:proofErr w:type="spellStart"/>
      <w:r w:rsidRPr="0065520F">
        <w:rPr>
          <w:rFonts w:eastAsia="TimesNewRomanPSMT"/>
        </w:rPr>
        <w:t>антихелминтни</w:t>
      </w:r>
      <w:proofErr w:type="spellEnd"/>
      <w:r w:rsidRPr="0065520F">
        <w:rPr>
          <w:rFonts w:eastAsia="TimesNewRomanPSMT"/>
        </w:rPr>
        <w:t xml:space="preserve"> лекарствени средства</w:t>
      </w:r>
      <w:r w:rsidRPr="00985E27">
        <w:rPr>
          <w:rFonts w:eastAsia="TimesNewRomanPSMT"/>
        </w:rPr>
        <w:t>.</w:t>
      </w:r>
    </w:p>
    <w:p w:rsidR="00BC7B70" w:rsidRDefault="00BC7B70" w:rsidP="00BC7B70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етапа – 49 месеца.</w:t>
      </w:r>
    </w:p>
    <w:p w:rsidR="00BC7B70" w:rsidRPr="00C52FF0" w:rsidRDefault="00BC7B70" w:rsidP="00BC7B70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F35E4">
        <w:rPr>
          <w:rFonts w:eastAsia="TimesNewRomanPSMT"/>
        </w:rPr>
        <w:t>етап</w:t>
      </w:r>
      <w:r w:rsidRPr="00C52FF0">
        <w:rPr>
          <w:rFonts w:eastAsia="TimesNewRomanPSMT"/>
        </w:rPr>
        <w:t>а</w:t>
      </w:r>
      <w:r>
        <w:rPr>
          <w:rFonts w:eastAsia="TimesNewRomanPSMT"/>
        </w:rPr>
        <w:t xml:space="preserve"> </w:t>
      </w:r>
      <w:r w:rsidRPr="00BC7B70">
        <w:rPr>
          <w:rFonts w:eastAsia="TimesNewRomanPSMT"/>
        </w:rPr>
        <w:t>-</w:t>
      </w:r>
      <w:r w:rsidRPr="008117FD">
        <w:rPr>
          <w:rFonts w:eastAsia="TimesNewRomanPSMT"/>
        </w:rPr>
        <w:t xml:space="preserve"> </w:t>
      </w:r>
      <w:r w:rsidRPr="00D4246D">
        <w:rPr>
          <w:rFonts w:eastAsia="TimesNewRomanPSMT"/>
          <w:lang w:val="en-US"/>
        </w:rPr>
        <w:t>1 068 056.90</w:t>
      </w:r>
      <w:r w:rsidRPr="00BC7B70">
        <w:rPr>
          <w:rFonts w:eastAsia="TimesNewRomanPSMT"/>
        </w:rPr>
        <w:t xml:space="preserve"> </w:t>
      </w:r>
      <w:r w:rsidRPr="008117FD">
        <w:rPr>
          <w:rFonts w:eastAsia="TimesNewRomanPSMT"/>
        </w:rPr>
        <w:t>лв.</w:t>
      </w:r>
    </w:p>
    <w:p w:rsidR="00BC7B70" w:rsidRPr="00985E27" w:rsidRDefault="00BC7B70" w:rsidP="00ED3D43">
      <w:pPr>
        <w:jc w:val="both"/>
        <w:rPr>
          <w:rFonts w:eastAsia="TimesNewRomanPSMT"/>
        </w:rPr>
      </w:pPr>
    </w:p>
    <w:p w:rsidR="003145EA" w:rsidRPr="00985E27" w:rsidRDefault="003145EA" w:rsidP="00ED3D43">
      <w:pPr>
        <w:jc w:val="both"/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b/>
        </w:rPr>
        <w:t>Изследване на имунния отговор срещу микроорганизми (РП3)</w:t>
      </w:r>
    </w:p>
    <w:p w:rsidR="003145EA" w:rsidRDefault="003145EA" w:rsidP="00ED3D43">
      <w:pPr>
        <w:jc w:val="both"/>
        <w:rPr>
          <w:rFonts w:eastAsia="TimesNewRomanPSMT"/>
        </w:rPr>
      </w:pPr>
      <w:r w:rsidRPr="0065520F">
        <w:rPr>
          <w:rFonts w:eastAsia="TimesNewRomanPSMT"/>
        </w:rPr>
        <w:t xml:space="preserve">Идентифициране на биомаркери на протективния </w:t>
      </w:r>
      <w:r w:rsidRPr="00985E27">
        <w:rPr>
          <w:rFonts w:eastAsia="TimesNewRomanPSMT"/>
          <w:lang w:val="en-US"/>
        </w:rPr>
        <w:t>MTB</w:t>
      </w:r>
      <w:r w:rsidRPr="0065520F">
        <w:rPr>
          <w:rFonts w:eastAsia="TimesNewRomanPSMT"/>
        </w:rPr>
        <w:t>-специфичен имунен отговор,</w:t>
      </w:r>
      <w:r w:rsidRPr="00985E27">
        <w:rPr>
          <w:rFonts w:eastAsia="TimesNewRomanPSMT"/>
        </w:rPr>
        <w:t xml:space="preserve"> р</w:t>
      </w:r>
      <w:r w:rsidRPr="0065520F">
        <w:rPr>
          <w:rFonts w:eastAsia="TimesNewRomanPSMT"/>
        </w:rPr>
        <w:t>азграничаващи фазите на инфекция и прогнозиращи ефекта от специфичната профилактика и</w:t>
      </w:r>
      <w:r w:rsidRPr="00985E27">
        <w:rPr>
          <w:rFonts w:eastAsia="TimesNewRomanPSMT"/>
        </w:rPr>
        <w:t xml:space="preserve"> т</w:t>
      </w:r>
      <w:r w:rsidRPr="0065520F">
        <w:rPr>
          <w:rFonts w:eastAsia="TimesNewRomanPSMT"/>
        </w:rPr>
        <w:t>ерапия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Идентифициране на чувствителни маркери за оценка на нискостепенната имунна активация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фона на трайна </w:t>
      </w:r>
      <w:r w:rsidRPr="00985E27">
        <w:rPr>
          <w:rFonts w:eastAsia="TimesNewRomanPSMT"/>
          <w:lang w:val="en-US"/>
        </w:rPr>
        <w:t>HIV</w:t>
      </w:r>
      <w:r w:rsidRPr="0065520F">
        <w:rPr>
          <w:rFonts w:eastAsia="TimesNewRomanPSMT"/>
        </w:rPr>
        <w:t xml:space="preserve"> вирусна супресия: ще се проследят няколко групи възпалителни биомаркери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сравнение с високочувствите</w:t>
      </w:r>
      <w:r w:rsidR="00D14BAF" w:rsidRPr="0065520F">
        <w:rPr>
          <w:rFonts w:eastAsia="TimesNewRomanPSMT"/>
        </w:rPr>
        <w:t xml:space="preserve">лен тест за </w:t>
      </w:r>
      <w:r w:rsidR="00D14BAF">
        <w:rPr>
          <w:rFonts w:eastAsia="TimesNewRomanPSMT"/>
          <w:lang w:val="en-US"/>
        </w:rPr>
        <w:t>CRP</w:t>
      </w:r>
      <w:r w:rsidR="00D14BAF" w:rsidRPr="0065520F">
        <w:rPr>
          <w:rFonts w:eastAsia="TimesNewRomanPSMT"/>
        </w:rPr>
        <w:t>: Ще се търсят</w:t>
      </w:r>
      <w:r w:rsidRPr="0065520F">
        <w:rPr>
          <w:rFonts w:eastAsia="TimesNewRomanPSMT"/>
        </w:rPr>
        <w:t xml:space="preserve"> показатели корелиращи с размерите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 латентния вирусен резервоар, ми</w:t>
      </w:r>
      <w:r w:rsidR="00D14BAF" w:rsidRPr="0065520F">
        <w:rPr>
          <w:rFonts w:eastAsia="TimesNewRomanPSMT"/>
        </w:rPr>
        <w:t>кробната транслокация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и страничните ефекти от </w:t>
      </w:r>
      <w:r w:rsidRPr="00985E27">
        <w:rPr>
          <w:rFonts w:eastAsia="TimesNewRomanPSMT"/>
          <w:lang w:val="en-US"/>
        </w:rPr>
        <w:t>c</w:t>
      </w:r>
      <w:r w:rsidR="0039042E" w:rsidRPr="001D7BD7">
        <w:rPr>
          <w:rFonts w:eastAsia="TimesNewRomanPSMT"/>
        </w:rPr>
        <w:t>-</w:t>
      </w:r>
      <w:r w:rsidRPr="00985E27">
        <w:rPr>
          <w:rFonts w:eastAsia="TimesNewRomanPSMT"/>
          <w:lang w:val="en-US"/>
        </w:rPr>
        <w:t>ART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Определяне ролята на </w:t>
      </w:r>
      <w:r w:rsidRPr="00985E27">
        <w:rPr>
          <w:rFonts w:eastAsia="TimesNewRomanPSMT"/>
          <w:lang w:val="en-US"/>
        </w:rPr>
        <w:t>HLA</w:t>
      </w:r>
      <w:r w:rsidRPr="0065520F">
        <w:rPr>
          <w:rFonts w:eastAsia="TimesNewRomanPSMT"/>
        </w:rPr>
        <w:t>-</w:t>
      </w:r>
      <w:r w:rsidRPr="00985E27">
        <w:rPr>
          <w:rFonts w:eastAsia="TimesNewRomanPSMT"/>
          <w:lang w:val="en-US"/>
        </w:rPr>
        <w:t>B</w:t>
      </w:r>
      <w:r w:rsidRPr="0065520F">
        <w:rPr>
          <w:rFonts w:eastAsia="TimesNewRomanPSMT"/>
        </w:rPr>
        <w:t xml:space="preserve"> хаплотипа за ефективността на МТВ- и </w:t>
      </w:r>
      <w:r w:rsidRPr="00985E27">
        <w:rPr>
          <w:rFonts w:eastAsia="TimesNewRomanPSMT"/>
          <w:lang w:val="en-US"/>
        </w:rPr>
        <w:t>HIV</w:t>
      </w:r>
      <w:r w:rsidRPr="0065520F">
        <w:rPr>
          <w:rFonts w:eastAsia="TimesNewRomanPSMT"/>
        </w:rPr>
        <w:t>-специфичния отговор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Изследване на </w:t>
      </w:r>
      <w:r w:rsidRPr="0065520F">
        <w:rPr>
          <w:rFonts w:eastAsia="TimesNewRomanPSMT"/>
        </w:rPr>
        <w:lastRenderedPageBreak/>
        <w:t>механизмите, позволяващи възстановяване на протективния Т</w:t>
      </w:r>
      <w:r w:rsidR="0039042E" w:rsidRPr="001D7BD7">
        <w:rPr>
          <w:rFonts w:eastAsia="TimesNewRomanPSMT"/>
        </w:rPr>
        <w:t>-</w:t>
      </w:r>
      <w:r w:rsidRPr="0065520F">
        <w:rPr>
          <w:rFonts w:eastAsia="TimesNewRomanPSMT"/>
        </w:rPr>
        <w:t>клетъчен</w:t>
      </w:r>
      <w:r w:rsidRPr="00985E27">
        <w:rPr>
          <w:rFonts w:eastAsia="TimesNewRomanPSMT"/>
        </w:rPr>
        <w:t xml:space="preserve"> о</w:t>
      </w:r>
      <w:r w:rsidRPr="0065520F">
        <w:rPr>
          <w:rFonts w:eastAsia="TimesNewRomanPSMT"/>
        </w:rPr>
        <w:t>тговор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(динамика на Т-регулаторните субпопулации)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Ап</w:t>
      </w:r>
      <w:r w:rsidR="00D14BAF" w:rsidRPr="0065520F">
        <w:rPr>
          <w:rFonts w:eastAsia="TimesNewRomanPSMT"/>
        </w:rPr>
        <w:t>робиране на лесно приложими, не</w:t>
      </w:r>
      <w:r w:rsidRPr="0065520F">
        <w:rPr>
          <w:rFonts w:eastAsia="TimesNewRomanPSMT"/>
        </w:rPr>
        <w:t>травматични и ефективни методи за взимане, обработка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съхранение на проби, отразяващи лигавичния имунитет.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Разработване и валидиране на СОП</w:t>
      </w:r>
      <w:r w:rsidRPr="00985E27">
        <w:rPr>
          <w:rFonts w:eastAsia="TimesNewRomanPSMT"/>
        </w:rPr>
        <w:t>;</w:t>
      </w:r>
      <w:r w:rsidRPr="0065520F">
        <w:rPr>
          <w:rFonts w:eastAsia="TimesNewRomanPSMT"/>
        </w:rPr>
        <w:t xml:space="preserve"> Идентифициране на лесно достъпни биомаркери, отразяващи качествата на локалния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протективен имунен отговор на ниво назална, орофарингеална, вагинална и гастро-интестинална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лигавица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Изследване на механизмите и идентифициране на маркери на протективен имунен отговор при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някои протозойни и хелминтни инвазии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Пълно клетъчно и молекулно охарактеризиране на имуноглобулиновипрепарати с допълнително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усилена полиспецифичност като иновативен подход за профилактика и лечение на </w:t>
      </w:r>
      <w:r w:rsidR="000B35DF" w:rsidRPr="0065520F">
        <w:rPr>
          <w:rFonts w:eastAsia="TimesNewRomanPSMT"/>
        </w:rPr>
        <w:t>систем</w:t>
      </w:r>
      <w:r w:rsidR="000B35DF">
        <w:rPr>
          <w:rFonts w:eastAsia="TimesNewRomanPSMT"/>
        </w:rPr>
        <w:t>е</w:t>
      </w:r>
      <w:r w:rsidR="000B35DF" w:rsidRPr="0065520F">
        <w:rPr>
          <w:rFonts w:eastAsia="TimesNewRomanPSMT"/>
        </w:rPr>
        <w:t>н</w:t>
      </w:r>
      <w:r w:rsidR="000B35DF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възпалителен отговор. Изследване влиянието на лечението с модифициран</w:t>
      </w:r>
      <w:r w:rsidRPr="00985E27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имуноглобулинов</w:t>
      </w:r>
      <w:proofErr w:type="spellEnd"/>
      <w:r w:rsidRPr="0065520F">
        <w:rPr>
          <w:rFonts w:eastAsia="TimesNewRomanPSMT"/>
        </w:rPr>
        <w:t xml:space="preserve"> препарат върху късните последствия на прекаран сепсис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Конструиране на ДНК химерна молекула за потискане на патологичния имунен </w:t>
      </w:r>
      <w:proofErr w:type="spellStart"/>
      <w:r w:rsidRPr="00985E27">
        <w:rPr>
          <w:rFonts w:eastAsia="TimesNewRomanPSMT"/>
          <w:lang w:val="en-US"/>
        </w:rPr>
        <w:t>IgE</w:t>
      </w:r>
      <w:proofErr w:type="spellEnd"/>
      <w:r w:rsidRPr="0065520F">
        <w:rPr>
          <w:rFonts w:eastAsia="TimesNewRomanPSMT"/>
        </w:rPr>
        <w:t xml:space="preserve"> отговор към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плесени (</w:t>
      </w:r>
      <w:proofErr w:type="spellStart"/>
      <w:r w:rsidRPr="00985E27">
        <w:rPr>
          <w:rFonts w:eastAsia="TimesNewRomanPSMT"/>
          <w:lang w:val="en-US"/>
        </w:rPr>
        <w:t>Alternaria</w:t>
      </w:r>
      <w:proofErr w:type="spellEnd"/>
      <w:r w:rsidRPr="0065520F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alternata</w:t>
      </w:r>
      <w:proofErr w:type="spellEnd"/>
      <w:r w:rsidRPr="0065520F">
        <w:rPr>
          <w:rFonts w:eastAsia="TimesNewRomanPSMT"/>
        </w:rPr>
        <w:t xml:space="preserve">) и изследване на биологичните й ефекти </w:t>
      </w:r>
      <w:proofErr w:type="spellStart"/>
      <w:r w:rsidRPr="00985E27">
        <w:rPr>
          <w:rFonts w:eastAsia="TimesNewRomanPSMT"/>
          <w:lang w:val="en-US"/>
        </w:rPr>
        <w:t>invitro</w:t>
      </w:r>
      <w:proofErr w:type="spellEnd"/>
      <w:r w:rsidR="0039042E" w:rsidRPr="001D7BD7">
        <w:rPr>
          <w:rFonts w:eastAsia="TimesNewRomanPSMT"/>
        </w:rPr>
        <w:t xml:space="preserve"> </w:t>
      </w:r>
      <w:r w:rsidRPr="0065520F">
        <w:rPr>
          <w:rFonts w:eastAsia="TimesNewRomanPSMT"/>
        </w:rPr>
        <w:t>и в животински модел</w:t>
      </w:r>
      <w:r w:rsidR="001D7BD7">
        <w:rPr>
          <w:rFonts w:eastAsia="TimesNewRomanPSMT"/>
        </w:rPr>
        <w:t>;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Създаване на модел за експресия на ДНК ваксина в </w:t>
      </w:r>
      <w:proofErr w:type="spellStart"/>
      <w:r w:rsidRPr="0065520F">
        <w:rPr>
          <w:rFonts w:eastAsia="TimesNewRomanPSMT"/>
        </w:rPr>
        <w:t>хуманизирани</w:t>
      </w:r>
      <w:proofErr w:type="spellEnd"/>
      <w:r w:rsidRPr="0065520F">
        <w:rPr>
          <w:rFonts w:eastAsia="TimesNewRomanPSMT"/>
        </w:rPr>
        <w:t xml:space="preserve"> мишки с тежък комбиниран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имунен дефицит (</w:t>
      </w:r>
      <w:r w:rsidRPr="00985E27">
        <w:rPr>
          <w:rFonts w:eastAsia="TimesNewRomanPSMT"/>
          <w:lang w:val="en-US"/>
        </w:rPr>
        <w:t>SCID</w:t>
      </w:r>
      <w:r w:rsidRPr="0065520F">
        <w:rPr>
          <w:rFonts w:eastAsia="TimesNewRomanPSMT"/>
        </w:rPr>
        <w:t xml:space="preserve">) и изследване на възможността за генериране </w:t>
      </w:r>
      <w:r w:rsidR="000B35DF">
        <w:rPr>
          <w:rFonts w:eastAsia="TimesNewRomanPSMT"/>
        </w:rPr>
        <w:t xml:space="preserve">на </w:t>
      </w:r>
      <w:proofErr w:type="spellStart"/>
      <w:r w:rsidRPr="0065520F">
        <w:rPr>
          <w:rFonts w:eastAsia="TimesNewRomanPSMT"/>
        </w:rPr>
        <w:t>протективен</w:t>
      </w:r>
      <w:proofErr w:type="spellEnd"/>
      <w:r w:rsidRPr="0065520F">
        <w:rPr>
          <w:rFonts w:eastAsia="TimesNewRomanPSMT"/>
        </w:rPr>
        <w:t xml:space="preserve"> </w:t>
      </w:r>
      <w:proofErr w:type="spellStart"/>
      <w:r w:rsidRPr="0065520F">
        <w:rPr>
          <w:rFonts w:eastAsia="TimesNewRomanPSMT"/>
        </w:rPr>
        <w:t>противогрипен</w:t>
      </w:r>
      <w:proofErr w:type="spell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отговор</w:t>
      </w:r>
      <w:r w:rsidR="001D7BD7">
        <w:rPr>
          <w:rFonts w:eastAsia="TimesNewRomanPSMT"/>
        </w:rPr>
        <w:t>.</w:t>
      </w:r>
      <w:r w:rsidRPr="00985E27">
        <w:rPr>
          <w:rFonts w:eastAsia="TimesNewRomanPSMT"/>
        </w:rPr>
        <w:t xml:space="preserve"> </w:t>
      </w:r>
      <w:r w:rsidR="0039042E" w:rsidRPr="001D7BD7">
        <w:rPr>
          <w:rFonts w:eastAsia="TimesNewRomanPSMT"/>
        </w:rPr>
        <w:t xml:space="preserve"> </w:t>
      </w:r>
    </w:p>
    <w:p w:rsidR="008117FD" w:rsidRDefault="008117FD" w:rsidP="008117FD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етапа – 49 месеца.</w:t>
      </w:r>
    </w:p>
    <w:p w:rsidR="008117FD" w:rsidRPr="008117FD" w:rsidRDefault="008117FD" w:rsidP="008117FD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117FD">
        <w:rPr>
          <w:rFonts w:eastAsia="TimesNewRomanPSMT"/>
        </w:rPr>
        <w:t>етап</w:t>
      </w:r>
      <w:r w:rsidRPr="00EE335F">
        <w:rPr>
          <w:rFonts w:eastAsia="TimesNewRomanPSMT"/>
        </w:rPr>
        <w:t xml:space="preserve">а - </w:t>
      </w:r>
      <w:r w:rsidRPr="00D4246D">
        <w:rPr>
          <w:rFonts w:eastAsia="TimesNewRomanPSMT"/>
          <w:lang w:val="en-US"/>
        </w:rPr>
        <w:t>698 193.83</w:t>
      </w:r>
      <w:r w:rsidRPr="00D4246D">
        <w:rPr>
          <w:rFonts w:eastAsia="TimesNewRomanPSMT"/>
        </w:rPr>
        <w:t xml:space="preserve"> лв.</w:t>
      </w:r>
    </w:p>
    <w:p w:rsidR="003145EA" w:rsidRPr="00985E27" w:rsidRDefault="003145EA" w:rsidP="00ED3D43">
      <w:pPr>
        <w:jc w:val="both"/>
        <w:rPr>
          <w:rFonts w:eastAsia="TimesNewRomanPSMT"/>
        </w:rPr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b/>
        </w:rPr>
        <w:t>Създаване на биологична банка за патогенни микроорганизми и клинични материали</w:t>
      </w:r>
    </w:p>
    <w:p w:rsidR="003145EA" w:rsidRDefault="003145EA" w:rsidP="00ED3D43">
      <w:pPr>
        <w:jc w:val="both"/>
        <w:rPr>
          <w:rFonts w:eastAsia="TimesNewRomanPSMT"/>
        </w:rPr>
      </w:pPr>
      <w:r w:rsidRPr="0065520F">
        <w:rPr>
          <w:rFonts w:eastAsia="TimesNewRomanPSMT"/>
        </w:rPr>
        <w:t>Подгот</w:t>
      </w:r>
      <w:r w:rsidR="00435AFC">
        <w:rPr>
          <w:rFonts w:eastAsia="TimesNewRomanPSMT"/>
        </w:rPr>
        <w:t>о</w:t>
      </w:r>
      <w:r w:rsidRPr="0065520F">
        <w:rPr>
          <w:rFonts w:eastAsia="TimesNewRomanPSMT"/>
        </w:rPr>
        <w:t>вка на стандартни оперативни процедури (СОП) за събиране, съхранение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 проби от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пациенти и дефиниране на времевите моменти за вземане на проби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Подгот</w:t>
      </w:r>
      <w:r w:rsidR="00D14BAF">
        <w:rPr>
          <w:rFonts w:eastAsia="TimesNewRomanPSMT"/>
        </w:rPr>
        <w:t>о</w:t>
      </w:r>
      <w:r w:rsidRPr="0065520F">
        <w:rPr>
          <w:rFonts w:eastAsia="TimesNewRomanPSMT"/>
        </w:rPr>
        <w:t>вка на СОП за изолиране, характеризиране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съхранение на микроорганизми (бактерии, вируси, гъбички, паразити)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Изработване на политика за достъп до биобанката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Създаване на централизирани адекватни условия за правилно изолиране, обработване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съхранение на клинични проби (РНК, ДНК, клетки от кръв и/или лимфна тъкан, парафинови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блокчета и срези, замразени тъкани, серум, плазма) чрез осъвременяване</w:t>
      </w:r>
      <w:r w:rsidR="0039042E" w:rsidRPr="00CA4170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 оборудването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Събиране и съхраняване на клинични проби от добре характеризирани клинични групи пациенти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като: </w:t>
      </w:r>
      <w:r w:rsidRPr="00985E27">
        <w:rPr>
          <w:rFonts w:eastAsia="TimesNewRomanPSMT"/>
          <w:lang w:val="en-US"/>
        </w:rPr>
        <w:t>HIV</w:t>
      </w:r>
      <w:r w:rsidRPr="0065520F">
        <w:rPr>
          <w:rFonts w:eastAsia="TimesNewRomanPSMT"/>
        </w:rPr>
        <w:t xml:space="preserve">+ пациенти преди и на различини етапи от антиретровирусната терапия, </w:t>
      </w:r>
      <w:r w:rsidRPr="00985E27">
        <w:rPr>
          <w:rFonts w:eastAsia="TimesNewRomanPSMT"/>
          <w:lang w:val="en-US"/>
        </w:rPr>
        <w:t>HIV</w:t>
      </w:r>
      <w:r w:rsidRPr="0065520F">
        <w:rPr>
          <w:rFonts w:eastAsia="TimesNewRomanPSMT"/>
        </w:rPr>
        <w:t>+ пациенти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с хепатитна ко-инфекция, пациенти с </w:t>
      </w:r>
      <w:r w:rsidRPr="00985E27">
        <w:rPr>
          <w:rFonts w:eastAsia="TimesNewRomanPSMT"/>
          <w:lang w:val="en-US"/>
        </w:rPr>
        <w:t>MTB</w:t>
      </w:r>
      <w:r w:rsidRPr="0065520F">
        <w:rPr>
          <w:rFonts w:eastAsia="TimesNewRomanPSMT"/>
        </w:rPr>
        <w:t xml:space="preserve"> инфекция и пр. и от здрави контроли; Организиране и поддържане на досиета за набраните пациенти (демографски, клинични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лабораторни данни, анамнеза, данни за средата, професионална анамнеза, поведенчески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особености и пр</w:t>
      </w:r>
      <w:r w:rsidR="0039042E">
        <w:rPr>
          <w:rFonts w:eastAsia="TimesNewRomanPSMT"/>
        </w:rPr>
        <w:t>и</w:t>
      </w:r>
      <w:r w:rsidRPr="0065520F">
        <w:rPr>
          <w:rFonts w:eastAsia="TimesNewRomanPSMT"/>
        </w:rPr>
        <w:t>надлежност към рискови групи</w:t>
      </w:r>
      <w:r w:rsidR="009707B1">
        <w:rPr>
          <w:rFonts w:eastAsia="TimesNewRomanPSMT"/>
          <w:lang w:val="en-US"/>
        </w:rPr>
        <w:t>)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Създаване на централизирани адекватни условия за правилно изолиране, характеризиране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съхранение на жизнени микроорганизми при спазване на специфичните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нормативни документи за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биологичен риск</w:t>
      </w:r>
      <w:r w:rsidRPr="00985E27">
        <w:rPr>
          <w:rFonts w:eastAsia="TimesNewRomanPSMT"/>
        </w:rPr>
        <w:t>;</w:t>
      </w:r>
      <w:r w:rsidRPr="0065520F">
        <w:rPr>
          <w:rFonts w:eastAsia="TimesNewRomanPSMT"/>
        </w:rPr>
        <w:t xml:space="preserve"> Организиране и подържане на досиета за изолираните щамове микроорганизми.</w:t>
      </w:r>
    </w:p>
    <w:p w:rsidR="00EE335F" w:rsidRDefault="00EE335F" w:rsidP="00EE335F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етапа – 47 месеца.</w:t>
      </w:r>
    </w:p>
    <w:p w:rsidR="00EE335F" w:rsidRPr="008117FD" w:rsidRDefault="00EE335F" w:rsidP="00EE335F">
      <w:pPr>
        <w:jc w:val="both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117FD">
        <w:rPr>
          <w:rFonts w:eastAsia="TimesNewRomanPSMT"/>
        </w:rPr>
        <w:t>етап</w:t>
      </w:r>
      <w:r w:rsidRPr="00C52FF0">
        <w:rPr>
          <w:rFonts w:eastAsia="TimesNewRomanPSMT"/>
        </w:rPr>
        <w:t xml:space="preserve">а - </w:t>
      </w:r>
      <w:r w:rsidRPr="00D4246D">
        <w:rPr>
          <w:rFonts w:eastAsia="TimesNewRomanPSMT"/>
          <w:lang w:val="en-US"/>
        </w:rPr>
        <w:t>100 342.85</w:t>
      </w:r>
      <w:r w:rsidRPr="00C52FF0">
        <w:rPr>
          <w:rFonts w:eastAsia="TimesNewRomanPSMT"/>
        </w:rPr>
        <w:t xml:space="preserve"> лв.</w:t>
      </w:r>
    </w:p>
    <w:p w:rsidR="00EE335F" w:rsidRPr="00985E27" w:rsidRDefault="00EE335F" w:rsidP="00ED3D43">
      <w:pPr>
        <w:jc w:val="both"/>
        <w:rPr>
          <w:rFonts w:eastAsia="TimesNewRomanPSMT"/>
        </w:rPr>
      </w:pPr>
    </w:p>
    <w:p w:rsidR="003145EA" w:rsidRPr="00985E27" w:rsidRDefault="003145EA" w:rsidP="00ED3D43">
      <w:pPr>
        <w:jc w:val="both"/>
        <w:rPr>
          <w:rFonts w:eastAsia="TimesNewRomanPSMT"/>
        </w:rPr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rFonts w:eastAsiaTheme="minorHAnsi"/>
          <w:b/>
          <w:lang w:eastAsia="en-US"/>
        </w:rPr>
      </w:pPr>
      <w:r w:rsidRPr="00985E27">
        <w:rPr>
          <w:b/>
        </w:rPr>
        <w:t>Разпространение на резултатите от научните изследвания</w:t>
      </w:r>
    </w:p>
    <w:p w:rsidR="003145EA" w:rsidRDefault="003145EA" w:rsidP="00ED3D43">
      <w:pPr>
        <w:jc w:val="both"/>
        <w:rPr>
          <w:rFonts w:eastAsia="TimesNewRomanPSMT"/>
        </w:rPr>
      </w:pPr>
      <w:r w:rsidRPr="0065520F">
        <w:rPr>
          <w:rFonts w:eastAsia="TimesNewRomanPSMT"/>
        </w:rPr>
        <w:t>Дефиниране на прицелни групи, за които се очаква да се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възползват от получените резултати.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Най-общо, прицелните групи, към които ще бъде насочена информацията и резултатите</w:t>
      </w:r>
      <w:r w:rsidR="00D14BAF">
        <w:rPr>
          <w:rFonts w:eastAsia="TimesNewRomanPSMT"/>
        </w:rPr>
        <w:t xml:space="preserve">, </w:t>
      </w:r>
      <w:r w:rsidRPr="0065520F">
        <w:rPr>
          <w:rFonts w:eastAsia="TimesNewRomanPSMT"/>
        </w:rPr>
        <w:t>получени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хода на реализация на проекта включват: практикуващи медицински специалисти, бъдещи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медицински специалисти, млади изследователи в областта на инфекциите и инфекциозния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имунитет,</w:t>
      </w:r>
      <w:r w:rsidR="00D14BAF">
        <w:rPr>
          <w:rFonts w:eastAsia="TimesNewRomanPSMT"/>
        </w:rPr>
        <w:t xml:space="preserve"> </w:t>
      </w:r>
      <w:r w:rsidR="00D14BAF" w:rsidRPr="0065520F">
        <w:rPr>
          <w:rFonts w:eastAsia="TimesNewRomanPSMT"/>
        </w:rPr>
        <w:t>млади и новоназначени специали</w:t>
      </w:r>
      <w:r w:rsidR="00D14BAF">
        <w:rPr>
          <w:rFonts w:eastAsia="TimesNewRomanPSMT"/>
        </w:rPr>
        <w:t>с</w:t>
      </w:r>
      <w:r w:rsidRPr="0065520F">
        <w:rPr>
          <w:rFonts w:eastAsia="TimesNewRomanPSMT"/>
        </w:rPr>
        <w:t>ти от центъра, специалисти от други области с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отношение към изследваните проблеми,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европейски и международни изследователски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групи,</w:t>
      </w:r>
      <w:r w:rsidR="00D14BAF">
        <w:rPr>
          <w:rFonts w:eastAsia="TimesNewRomanPSMT"/>
        </w:rPr>
        <w:t xml:space="preserve"> </w:t>
      </w:r>
      <w:r w:rsidRPr="0065520F">
        <w:rPr>
          <w:rFonts w:eastAsia="TimesNewRomanPSMT"/>
        </w:rPr>
        <w:t>пациенти и пациентски организации, национални и международни научни дружества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областта на микробиологията, инфекциозните болести и имунологията, държавни и европейски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институции, свързани с контрола на инфекциите, компании, малки и средни предприятия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областта на фармакологията, биотехнологиите </w:t>
      </w:r>
      <w:r w:rsidRPr="0065520F">
        <w:rPr>
          <w:rFonts w:eastAsia="TimesNewRomanPSMT"/>
        </w:rPr>
        <w:lastRenderedPageBreak/>
        <w:t>и клиничните изпитвания, обществото като цяло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Подбор/разработване на подходящи методи и подходи за достигане на прицелните групи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адаптирано разпространение на знания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Разработване на високоспециализирани практически и лекционни курсове за СДО, включващи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съвременни техники и подходи за поднасяне и усвояване на знания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Провеждане на образователни курсове (</w:t>
      </w:r>
      <w:r w:rsidRPr="00985E27">
        <w:rPr>
          <w:rFonts w:eastAsia="TimesNewRomanPSMT"/>
          <w:lang w:val="en-US"/>
        </w:rPr>
        <w:t>tutorials</w:t>
      </w:r>
      <w:r w:rsidRPr="0065520F">
        <w:rPr>
          <w:rFonts w:eastAsia="TimesNewRomanPSMT"/>
        </w:rPr>
        <w:t>) върху специализирани техники на изследване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върху превода на данните от фундаменталните изследвания в модерната диагностика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инфекциите и имунния отговор срещу тях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Провеждане на семинари, посветени на специфични теми, засягащи върхови</w:t>
      </w:r>
      <w:r w:rsidR="00752A0C">
        <w:rPr>
          <w:rFonts w:eastAsia="TimesNewRomanPSMT"/>
        </w:rPr>
        <w:t xml:space="preserve"> </w:t>
      </w:r>
      <w:r w:rsidRPr="0065520F">
        <w:rPr>
          <w:rFonts w:eastAsia="TimesNewRomanPSMT"/>
        </w:rPr>
        <w:t>технологии, етични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проблеми</w:t>
      </w:r>
      <w:r w:rsidR="00752A0C">
        <w:rPr>
          <w:rFonts w:eastAsia="TimesNewRomanPSMT"/>
        </w:rPr>
        <w:t xml:space="preserve"> при</w:t>
      </w:r>
      <w:r w:rsidRPr="0065520F">
        <w:rPr>
          <w:rFonts w:eastAsia="TimesNewRomanPSMT"/>
        </w:rPr>
        <w:t xml:space="preserve"> управление на данните, трансфер на резултатите от научните изследвания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практиката, взаимодействие с бизнеса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Публикуване на резултатите от съвместните проучвания по време на проекта в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престижни научни списания с импакт фактор под формата на обзори,</w:t>
      </w:r>
      <w:r w:rsidR="00752A0C">
        <w:rPr>
          <w:rFonts w:eastAsia="TimesNewRomanPSMT"/>
        </w:rPr>
        <w:t xml:space="preserve"> </w:t>
      </w:r>
      <w:r w:rsidRPr="0065520F">
        <w:rPr>
          <w:rFonts w:eastAsia="TimesNewRomanPSMT"/>
        </w:rPr>
        <w:t>оригинални или технически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статии, научни съобщения на национални и международни конференции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Създаване на широко достъпни бази данни с резултати от молекулярно-епидемиологичните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целогеномните проучвания на циркулиращите в България патогени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Предоставяне на широк регулиран достъп до биологичната банка за специалисти от България,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Европа и света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За да се осигури по-широка информираност на професионалната общ</w:t>
      </w:r>
      <w:r w:rsidR="0039042E">
        <w:rPr>
          <w:rFonts w:eastAsia="TimesNewRomanPSMT"/>
        </w:rPr>
        <w:t>н</w:t>
      </w:r>
      <w:r w:rsidRPr="0065520F">
        <w:rPr>
          <w:rFonts w:eastAsia="TimesNewRomanPSMT"/>
        </w:rPr>
        <w:t>ост за проекта и Центъра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за компетентност се предвижда срещите на координационния и научния съвет да се провеждат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успоредно със значими научни и/или клинични конференции в областта на инфекциите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инфекциозния имунитет. Ще бъдат провеждани семинари, свързани със специфични теми от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разработваните проекти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Работни срещи върху транслир</w:t>
      </w:r>
      <w:r w:rsidR="00752A0C" w:rsidRPr="0065520F">
        <w:rPr>
          <w:rFonts w:eastAsia="TimesNewRomanPSMT"/>
        </w:rPr>
        <w:t>ащите изследвания с представите</w:t>
      </w:r>
      <w:r w:rsidRPr="0065520F">
        <w:rPr>
          <w:rFonts w:eastAsia="TimesNewRomanPSMT"/>
        </w:rPr>
        <w:t>ли на бизнеса</w:t>
      </w:r>
      <w:r w:rsidR="0039042E">
        <w:rPr>
          <w:rFonts w:eastAsia="TimesNewRomanPSMT"/>
        </w:rPr>
        <w:t>,</w:t>
      </w:r>
      <w:r w:rsidRPr="0065520F">
        <w:rPr>
          <w:rFonts w:eastAsia="TimesNewRomanPSMT"/>
        </w:rPr>
        <w:t xml:space="preserve"> на които ще се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предоставя директна информация и практически опит върху различни технологии и концептуални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разработки, представляващи интерес за бизнес</w:t>
      </w:r>
      <w:r w:rsidR="0039042E">
        <w:rPr>
          <w:rFonts w:eastAsia="TimesNewRomanPSMT"/>
        </w:rPr>
        <w:t>а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Организиране на национални и международни конференции в областта на инфекциите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имунния отговор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Разпро</w:t>
      </w:r>
      <w:r w:rsidR="00752A0C" w:rsidRPr="0065520F">
        <w:rPr>
          <w:rFonts w:eastAsia="TimesNewRomanPSMT"/>
        </w:rPr>
        <w:t>страняване на достъпна и научнообоснована информация</w:t>
      </w:r>
      <w:r w:rsidRPr="0065520F">
        <w:rPr>
          <w:rFonts w:eastAsia="TimesNewRomanPSMT"/>
        </w:rPr>
        <w:t xml:space="preserve"> в случай на епидемични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други извънредни ситуации, както и във връзка с актуални здравни проблеми (употреба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антибиотици, за и против ваксинирането, превенция на инфекциозните заболявания) ще бъде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търсено съдействието на медиите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Участие в международни лабораторни мрежи в тесните области на провежданите научно-изследователски дейности, в т.ч. – в рамките на </w:t>
      </w:r>
      <w:r w:rsidRPr="00985E27">
        <w:rPr>
          <w:rFonts w:eastAsia="TimesNewRomanPSMT"/>
          <w:lang w:val="en-US"/>
        </w:rPr>
        <w:t>ECDC</w:t>
      </w:r>
      <w:r w:rsidR="00CA4170">
        <w:rPr>
          <w:rFonts w:eastAsia="TimesNewRomanPSMT"/>
        </w:rPr>
        <w:t xml:space="preserve"> </w:t>
      </w:r>
      <w:r w:rsidRPr="0065520F">
        <w:rPr>
          <w:rFonts w:eastAsia="TimesNewRomanPSMT"/>
        </w:rPr>
        <w:t>и СЗО.</w:t>
      </w:r>
    </w:p>
    <w:p w:rsidR="00B7094B" w:rsidRDefault="00B7094B" w:rsidP="00B7094B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етапа – 41 месеца.</w:t>
      </w:r>
    </w:p>
    <w:p w:rsidR="00B7094B" w:rsidRPr="008117FD" w:rsidRDefault="00B7094B" w:rsidP="00D4246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117FD">
        <w:rPr>
          <w:rFonts w:eastAsia="TimesNewRomanPSMT"/>
        </w:rPr>
        <w:t>етап</w:t>
      </w:r>
      <w:r w:rsidRPr="00C52FF0">
        <w:rPr>
          <w:rFonts w:eastAsia="TimesNewRomanPSMT"/>
        </w:rPr>
        <w:t xml:space="preserve">а - </w:t>
      </w:r>
      <w:r w:rsidR="0065196B">
        <w:rPr>
          <w:rFonts w:eastAsia="TimesNewRomanPSMT"/>
        </w:rPr>
        <w:t>352 111.12</w:t>
      </w:r>
      <w:r w:rsidRPr="00D4246D">
        <w:rPr>
          <w:rFonts w:eastAsia="TimesNewRomanPSMT"/>
        </w:rPr>
        <w:t>л</w:t>
      </w:r>
      <w:r w:rsidRPr="00B7094B">
        <w:rPr>
          <w:rFonts w:eastAsia="TimesNewRomanPSMT"/>
        </w:rPr>
        <w:t>в</w:t>
      </w:r>
      <w:r w:rsidRPr="00C52FF0">
        <w:rPr>
          <w:rFonts w:eastAsia="TimesNewRomanPSMT"/>
        </w:rPr>
        <w:t>.</w:t>
      </w:r>
    </w:p>
    <w:p w:rsidR="00B7094B" w:rsidRPr="00985E27" w:rsidRDefault="00B7094B" w:rsidP="00B7094B">
      <w:pPr>
        <w:jc w:val="both"/>
        <w:rPr>
          <w:rFonts w:eastAsia="TimesNewRomanPSMT"/>
        </w:rPr>
      </w:pPr>
    </w:p>
    <w:p w:rsidR="003145EA" w:rsidRPr="00985E27" w:rsidRDefault="003145EA" w:rsidP="00ED3D43">
      <w:pPr>
        <w:jc w:val="both"/>
        <w:rPr>
          <w:rFonts w:eastAsiaTheme="minorHAnsi"/>
          <w:lang w:eastAsia="en-US"/>
        </w:rPr>
      </w:pPr>
    </w:p>
    <w:p w:rsidR="003145EA" w:rsidRPr="0065520F" w:rsidRDefault="003145EA" w:rsidP="00866754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985E27">
        <w:rPr>
          <w:b/>
        </w:rPr>
        <w:t>Трансфер на знания и осигуряване на специализирани научно-изследователски услуги</w:t>
      </w:r>
    </w:p>
    <w:p w:rsidR="003145EA" w:rsidRDefault="003145EA" w:rsidP="00ED3D43">
      <w:pPr>
        <w:jc w:val="both"/>
        <w:rPr>
          <w:rFonts w:eastAsia="TimesNewRomanPSMT"/>
        </w:rPr>
      </w:pPr>
      <w:r w:rsidRPr="0065520F">
        <w:rPr>
          <w:rFonts w:eastAsia="TimesNewRomanPSMT"/>
        </w:rPr>
        <w:t>Разработване и прилагане на правилници и документи, свързани с осигуряването на</w:t>
      </w:r>
      <w:r w:rsidR="00752A0C">
        <w:rPr>
          <w:rFonts w:eastAsia="TimesNewRomanPSMT"/>
        </w:rPr>
        <w:t xml:space="preserve"> </w:t>
      </w:r>
      <w:r w:rsidRPr="0065520F">
        <w:rPr>
          <w:rFonts w:eastAsia="TimesNewRomanPSMT"/>
        </w:rPr>
        <w:t>ефективен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трансфер на знания: Политика и правилник за интелектуална собственост, политика за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експлоатация и комерсиализация на получените резултати;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Обучаване на специалистите от центъра по специфичните проблеми</w:t>
      </w:r>
      <w:r w:rsidR="0039042E">
        <w:rPr>
          <w:rFonts w:eastAsia="TimesNewRomanPSMT"/>
        </w:rPr>
        <w:t>,</w:t>
      </w:r>
      <w:r w:rsidRPr="0065520F">
        <w:rPr>
          <w:rFonts w:eastAsia="TimesNewRomanPSMT"/>
        </w:rPr>
        <w:t xml:space="preserve"> свързани с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комерсиализирането на научните резултати: етика на научните изследвания, патентно право,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защита на интелектуалната собственост и пр.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Разработване на портфолио на Центъра за компетентност на базата на усвоените технологии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резултатите от планираните научно-изследователски дейности</w:t>
      </w:r>
      <w:r w:rsidR="0039042E">
        <w:rPr>
          <w:rFonts w:eastAsia="TimesNewRomanPSMT"/>
        </w:rPr>
        <w:t>,</w:t>
      </w:r>
      <w:r w:rsidRPr="0065520F">
        <w:rPr>
          <w:rFonts w:eastAsia="TimesNewRomanPSMT"/>
        </w:rPr>
        <w:t xml:space="preserve"> </w:t>
      </w:r>
      <w:r w:rsidR="0039042E">
        <w:rPr>
          <w:rFonts w:eastAsia="TimesNewRomanPSMT"/>
        </w:rPr>
        <w:t>в</w:t>
      </w:r>
      <w:r w:rsidR="0039042E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>т.ч.</w:t>
      </w:r>
      <w:r w:rsidR="0039042E">
        <w:rPr>
          <w:rFonts w:eastAsia="TimesNewRomanPSMT"/>
        </w:rPr>
        <w:t>: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уникални изолирани,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идентифицирани и съхранени патогенни щамове и щамове-носители на резистентни мутации;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алгоритми за молекулярно-епидемиологично прогнозиране, диагностични алгоритми, биомаркери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за интегрална оценка на системния и локален имунен отговор, прототипи на имуномодулатори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ваксини с таргетно действие, високо-специализирани обучителни курсове, консултантски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експертни услуги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Идентифициране на потенциални бизнес-партньори в страната и чужбина, съгласно установени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критерии: Да са утвърдени компании с богато и разнообразно портфолио включващо уникални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продукти и собствени патенти; да притежават прозрачен и достъпен регистър на своите програми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за научноизследователската и развойна дейност (</w:t>
      </w:r>
      <w:r w:rsidRPr="00985E27">
        <w:rPr>
          <w:rFonts w:eastAsia="TimesNewRomanPSMT"/>
          <w:lang w:val="en-US"/>
        </w:rPr>
        <w:t>R</w:t>
      </w:r>
      <w:r w:rsidR="0039042E" w:rsidRPr="00CA4170">
        <w:rPr>
          <w:rFonts w:eastAsia="TimesNewRomanPSMT"/>
        </w:rPr>
        <w:t>&amp;</w:t>
      </w:r>
      <w:r w:rsidRPr="00985E27">
        <w:rPr>
          <w:rFonts w:eastAsia="TimesNewRomanPSMT"/>
          <w:lang w:val="en-US"/>
        </w:rPr>
        <w:t>D</w:t>
      </w:r>
      <w:r w:rsidRPr="0065520F">
        <w:rPr>
          <w:rFonts w:eastAsia="TimesNewRomanPSMT"/>
        </w:rPr>
        <w:t>), включващ информация каква част от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приходите се реинвестира в </w:t>
      </w:r>
      <w:r w:rsidRPr="00985E27">
        <w:rPr>
          <w:rFonts w:eastAsia="TimesNewRomanPSMT"/>
          <w:lang w:val="en-US"/>
        </w:rPr>
        <w:t>R</w:t>
      </w:r>
      <w:r w:rsidR="0039042E" w:rsidRPr="00CA4170">
        <w:rPr>
          <w:rFonts w:eastAsia="TimesNewRomanPSMT"/>
        </w:rPr>
        <w:t>&amp;</w:t>
      </w:r>
      <w:r w:rsidRPr="00985E27">
        <w:rPr>
          <w:rFonts w:eastAsia="TimesNewRomanPSMT"/>
          <w:lang w:val="en-US"/>
        </w:rPr>
        <w:t>D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 xml:space="preserve">Наемане на външни експерти/консултанти, които да помогнат </w:t>
      </w:r>
      <w:r w:rsidR="00C1770E">
        <w:rPr>
          <w:rFonts w:eastAsia="TimesNewRomanPSMT"/>
        </w:rPr>
        <w:t xml:space="preserve">за </w:t>
      </w:r>
      <w:r w:rsidRPr="0065520F">
        <w:rPr>
          <w:rFonts w:eastAsia="TimesNewRomanPSMT"/>
        </w:rPr>
        <w:t xml:space="preserve">идентифицирането на най-обещаващите за комерсиализиране продукти, услуги и направления </w:t>
      </w:r>
      <w:r w:rsidR="00C1770E">
        <w:rPr>
          <w:rFonts w:eastAsia="TimesNewRomanPSMT"/>
        </w:rPr>
        <w:t>от</w:t>
      </w:r>
      <w:r w:rsidR="00C1770E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lastRenderedPageBreak/>
        <w:t>портфолиото на Центъра за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компетентност, както и потенциални бизнес партньори и воденето на преговори с тях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Осъществяване на бизнес</w:t>
      </w:r>
      <w:r w:rsidR="00CA4170">
        <w:rPr>
          <w:rFonts w:eastAsia="TimesNewRomanPSMT"/>
        </w:rPr>
        <w:t xml:space="preserve"> </w:t>
      </w:r>
      <w:r w:rsidRPr="0065520F">
        <w:rPr>
          <w:rFonts w:eastAsia="TimesNewRomanPSMT"/>
        </w:rPr>
        <w:t>партньорство:</w:t>
      </w:r>
      <w:r w:rsidRPr="00985E27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a</w:t>
      </w:r>
      <w:r w:rsidRPr="0065520F">
        <w:rPr>
          <w:rFonts w:eastAsia="TimesNewRomanPSMT"/>
        </w:rPr>
        <w:t>. съвместно комерсиализиране на разработените в течение на проекта, продукти и услуги;</w:t>
      </w:r>
      <w:r w:rsidRPr="00985E27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b</w:t>
      </w:r>
      <w:r w:rsidRPr="0065520F">
        <w:rPr>
          <w:rFonts w:eastAsia="TimesNewRomanPSMT"/>
        </w:rPr>
        <w:t>. спонсориране на поръчкови проучвания от страна на индустрията и изготвяне на експертизи;</w:t>
      </w:r>
      <w:r w:rsidRPr="00985E27">
        <w:rPr>
          <w:rFonts w:eastAsia="TimesNewRomanPSMT"/>
        </w:rPr>
        <w:t xml:space="preserve"> </w:t>
      </w:r>
      <w:r w:rsidRPr="00985E27">
        <w:rPr>
          <w:rFonts w:eastAsia="TimesNewRomanPSMT"/>
          <w:lang w:val="en-US"/>
        </w:rPr>
        <w:t>c</w:t>
      </w:r>
      <w:r w:rsidRPr="0065520F">
        <w:rPr>
          <w:rFonts w:eastAsia="TimesNewRomanPSMT"/>
        </w:rPr>
        <w:t>. отдаване под наем на технологичния парк, за провеждане на независими проучвания от други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екипи</w:t>
      </w:r>
      <w:r w:rsidRPr="00985E27">
        <w:rPr>
          <w:rFonts w:eastAsia="TimesNewRomanPSMT"/>
        </w:rPr>
        <w:t xml:space="preserve">; </w:t>
      </w:r>
      <w:r w:rsidRPr="0065520F">
        <w:rPr>
          <w:rFonts w:eastAsia="TimesNewRomanPSMT"/>
        </w:rPr>
        <w:t>Участие в международни и европейски проекти и програми за иновации, които финансират 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стимулират сътрудничеството между научни организации и бизнеса (напр. </w:t>
      </w:r>
      <w:r w:rsidRPr="00CA4170">
        <w:rPr>
          <w:rFonts w:eastAsia="TimesNewRomanPSMT"/>
        </w:rPr>
        <w:t>Хоризонт 2020) както и</w:t>
      </w:r>
      <w:r w:rsidRPr="00985E27">
        <w:rPr>
          <w:rFonts w:eastAsia="TimesNewRomanPSMT"/>
        </w:rPr>
        <w:t xml:space="preserve"> </w:t>
      </w:r>
      <w:r w:rsidRPr="00CA4170">
        <w:rPr>
          <w:rFonts w:eastAsia="TimesNewRomanPSMT"/>
        </w:rPr>
        <w:t>търсене на международни инвеститори.</w:t>
      </w:r>
    </w:p>
    <w:p w:rsidR="00092D07" w:rsidRDefault="00092D07" w:rsidP="00092D07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етапа – 41 месеца.</w:t>
      </w:r>
    </w:p>
    <w:p w:rsidR="00092D07" w:rsidRPr="008117FD" w:rsidRDefault="00092D07" w:rsidP="00092D07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117FD">
        <w:rPr>
          <w:rFonts w:eastAsia="TimesNewRomanPSMT"/>
        </w:rPr>
        <w:t>етап</w:t>
      </w:r>
      <w:r w:rsidRPr="00C52FF0">
        <w:rPr>
          <w:rFonts w:eastAsia="TimesNewRomanPSMT"/>
        </w:rPr>
        <w:t xml:space="preserve">а - </w:t>
      </w:r>
      <w:r>
        <w:rPr>
          <w:rFonts w:eastAsia="TimesNewRomanPSMT"/>
        </w:rPr>
        <w:t>5</w:t>
      </w:r>
      <w:r w:rsidRPr="00C52FF0">
        <w:rPr>
          <w:rFonts w:eastAsia="TimesNewRomanPSMT"/>
          <w:lang w:val="en-US"/>
        </w:rPr>
        <w:t xml:space="preserve">0 </w:t>
      </w:r>
      <w:r>
        <w:rPr>
          <w:rFonts w:eastAsia="TimesNewRomanPSMT"/>
        </w:rPr>
        <w:t>000.00</w:t>
      </w:r>
      <w:r w:rsidRPr="00C52FF0">
        <w:rPr>
          <w:rFonts w:eastAsia="TimesNewRomanPSMT"/>
        </w:rPr>
        <w:t xml:space="preserve"> л</w:t>
      </w:r>
      <w:r w:rsidRPr="00B7094B">
        <w:rPr>
          <w:rFonts w:eastAsia="TimesNewRomanPSMT"/>
        </w:rPr>
        <w:t>в</w:t>
      </w:r>
      <w:r w:rsidRPr="00C52FF0">
        <w:rPr>
          <w:rFonts w:eastAsia="TimesNewRomanPSMT"/>
        </w:rPr>
        <w:t>.</w:t>
      </w:r>
    </w:p>
    <w:p w:rsidR="005778E3" w:rsidRPr="00985E27" w:rsidRDefault="005778E3" w:rsidP="00ED3D43">
      <w:pPr>
        <w:jc w:val="both"/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b/>
          <w:lang w:val="en-US"/>
        </w:rPr>
      </w:pPr>
      <w:r w:rsidRPr="00985E27">
        <w:rPr>
          <w:b/>
        </w:rPr>
        <w:t>Организация и у</w:t>
      </w:r>
      <w:proofErr w:type="spellStart"/>
      <w:r w:rsidRPr="00985E27">
        <w:rPr>
          <w:b/>
          <w:lang w:val="en-US"/>
        </w:rPr>
        <w:t>правление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на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проекта</w:t>
      </w:r>
      <w:proofErr w:type="spellEnd"/>
    </w:p>
    <w:p w:rsidR="005B54F2" w:rsidRDefault="003145EA" w:rsidP="00ED3D43">
      <w:pPr>
        <w:jc w:val="both"/>
        <w:rPr>
          <w:rFonts w:eastAsia="TimesNewRomanPSMT"/>
        </w:rPr>
      </w:pPr>
      <w:proofErr w:type="spellStart"/>
      <w:proofErr w:type="gramStart"/>
      <w:r w:rsidRPr="00985E27">
        <w:rPr>
          <w:rFonts w:eastAsia="TimesNewRomanPSMT"/>
          <w:lang w:val="en-US"/>
        </w:rPr>
        <w:t>Финансовите</w:t>
      </w:r>
      <w:proofErr w:type="spellEnd"/>
      <w:r w:rsidRPr="00985E27">
        <w:rPr>
          <w:rFonts w:eastAsia="TimesNewRomanPSMT"/>
          <w:lang w:val="en-US"/>
        </w:rPr>
        <w:t xml:space="preserve"> и </w:t>
      </w:r>
      <w:proofErr w:type="spellStart"/>
      <w:r w:rsidRPr="00985E27">
        <w:rPr>
          <w:rFonts w:eastAsia="TimesNewRomanPSMT"/>
          <w:lang w:val="en-US"/>
        </w:rPr>
        <w:t>административни</w:t>
      </w:r>
      <w:proofErr w:type="spellEnd"/>
      <w:r w:rsidRPr="00985E27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звена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на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партньорите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ги</w:t>
      </w:r>
      <w:proofErr w:type="spellEnd"/>
      <w:r w:rsidRPr="00985E27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подпомагат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по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отношение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на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финансовото</w:t>
      </w:r>
      <w:proofErr w:type="spellEnd"/>
      <w:r w:rsidRPr="00985E27">
        <w:rPr>
          <w:rFonts w:eastAsia="TimesNewRomanPSMT"/>
          <w:lang w:val="en-US"/>
        </w:rPr>
        <w:t xml:space="preserve">, </w:t>
      </w:r>
      <w:proofErr w:type="spellStart"/>
      <w:r w:rsidRPr="00985E27">
        <w:rPr>
          <w:rFonts w:eastAsia="TimesNewRomanPSMT"/>
          <w:lang w:val="en-US"/>
        </w:rPr>
        <w:t>юридическо</w:t>
      </w:r>
      <w:proofErr w:type="spellEnd"/>
      <w:r w:rsidRPr="00985E27">
        <w:rPr>
          <w:rFonts w:eastAsia="TimesNewRomanPSMT"/>
          <w:lang w:val="en-US"/>
        </w:rPr>
        <w:t xml:space="preserve"> и </w:t>
      </w:r>
      <w:proofErr w:type="spellStart"/>
      <w:r w:rsidRPr="00985E27">
        <w:rPr>
          <w:rFonts w:eastAsia="TimesNewRomanPSMT"/>
          <w:lang w:val="en-US"/>
        </w:rPr>
        <w:t>договорно</w:t>
      </w:r>
      <w:proofErr w:type="spellEnd"/>
      <w:r w:rsidRPr="00985E27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управление</w:t>
      </w:r>
      <w:proofErr w:type="spellEnd"/>
      <w:r w:rsidRPr="00985E27">
        <w:rPr>
          <w:rFonts w:eastAsia="TimesNewRomanPSMT"/>
          <w:lang w:val="en-US"/>
        </w:rPr>
        <w:t>.</w:t>
      </w:r>
      <w:proofErr w:type="gramEnd"/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 xml:space="preserve">Ръководителят на </w:t>
      </w:r>
      <w:r w:rsidR="00CD30D3" w:rsidRPr="00985E27">
        <w:rPr>
          <w:rFonts w:eastAsia="TimesNewRomanPSMT"/>
        </w:rPr>
        <w:t>проекта</w:t>
      </w:r>
      <w:r w:rsidRPr="0065520F">
        <w:rPr>
          <w:rFonts w:eastAsia="TimesNewRomanPSMT"/>
        </w:rPr>
        <w:t xml:space="preserve"> </w:t>
      </w:r>
      <w:r w:rsidR="00752A0C">
        <w:rPr>
          <w:rFonts w:eastAsia="TimesNewRomanPSMT"/>
        </w:rPr>
        <w:t>се информира за</w:t>
      </w:r>
      <w:r w:rsidRPr="0065520F">
        <w:rPr>
          <w:rFonts w:eastAsia="TimesNewRomanPSMT"/>
        </w:rPr>
        <w:t xml:space="preserve"> разпределението на финансовите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и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технически ресурси и одобрява всеки разход при реализирането на целите на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проекта.</w:t>
      </w:r>
      <w:r w:rsidRPr="00985E27">
        <w:rPr>
          <w:rFonts w:eastAsia="TimesNewRomanPSMT"/>
        </w:rPr>
        <w:t xml:space="preserve"> </w:t>
      </w:r>
      <w:r w:rsidRPr="0065520F">
        <w:rPr>
          <w:rFonts w:eastAsia="TimesNewRomanPSMT"/>
        </w:rPr>
        <w:t>Междинни и окончател</w:t>
      </w:r>
      <w:r w:rsidR="00B5721D">
        <w:rPr>
          <w:rFonts w:eastAsia="TimesNewRomanPSMT"/>
        </w:rPr>
        <w:t>ен</w:t>
      </w:r>
      <w:r w:rsidRPr="0065520F">
        <w:rPr>
          <w:rFonts w:eastAsia="TimesNewRomanPSMT"/>
        </w:rPr>
        <w:t xml:space="preserve"> отчети за извършени плащания, заедно с искания за междинни/</w:t>
      </w:r>
      <w:r w:rsidR="00C1770E" w:rsidRPr="0065520F">
        <w:rPr>
          <w:rFonts w:eastAsia="TimesNewRomanPSMT"/>
        </w:rPr>
        <w:t>окончателн</w:t>
      </w:r>
      <w:r w:rsidR="00AA25F5">
        <w:rPr>
          <w:rFonts w:eastAsia="TimesNewRomanPSMT"/>
        </w:rPr>
        <w:t>о</w:t>
      </w:r>
      <w:r w:rsidR="00C1770E" w:rsidRPr="0065520F">
        <w:rPr>
          <w:rFonts w:eastAsia="TimesNewRomanPSMT"/>
        </w:rPr>
        <w:t xml:space="preserve"> </w:t>
      </w:r>
      <w:r w:rsidRPr="0065520F">
        <w:rPr>
          <w:rFonts w:eastAsia="TimesNewRomanPSMT"/>
        </w:rPr>
        <w:t>плащан</w:t>
      </w:r>
      <w:r w:rsidR="009707B1">
        <w:rPr>
          <w:rFonts w:eastAsia="TimesNewRomanPSMT"/>
        </w:rPr>
        <w:t>ия</w:t>
      </w:r>
      <w:r w:rsidRPr="0065520F">
        <w:rPr>
          <w:rFonts w:eastAsia="TimesNewRomanPSMT"/>
        </w:rPr>
        <w:t xml:space="preserve"> се представят регулярно на периоди не по-дълги от </w:t>
      </w:r>
      <w:r w:rsidRPr="00C1770E">
        <w:rPr>
          <w:rFonts w:eastAsia="TimesNewRomanPSMT"/>
        </w:rPr>
        <w:t>седем месеца</w:t>
      </w:r>
      <w:r w:rsidRPr="00985E27">
        <w:rPr>
          <w:rFonts w:eastAsia="TimesNewRomanPSMT"/>
        </w:rPr>
        <w:t>.</w:t>
      </w:r>
    </w:p>
    <w:p w:rsidR="005B54F2" w:rsidRPr="00985E27" w:rsidRDefault="000964B7" w:rsidP="005B54F2">
      <w:pPr>
        <w:jc w:val="both"/>
      </w:pPr>
      <w:r>
        <w:t>Докладите за фактически констатации</w:t>
      </w:r>
      <w:r w:rsidR="005B54F2" w:rsidRPr="00AA25F5">
        <w:t xml:space="preserve"> не са задължителен елемент към съответното искане за междинно плащане.</w:t>
      </w:r>
    </w:p>
    <w:p w:rsidR="003145EA" w:rsidRDefault="00CD30D3" w:rsidP="005B54F2">
      <w:pPr>
        <w:jc w:val="both"/>
        <w:rPr>
          <w:rFonts w:eastAsia="TimesNewRomanPSMT"/>
        </w:rPr>
      </w:pPr>
      <w:r w:rsidRPr="00985E27">
        <w:rPr>
          <w:rFonts w:eastAsia="TimesNewRomanPSMT"/>
        </w:rPr>
        <w:t>Нацоналният център по заразни и паразитни болести, в качеството му на в</w:t>
      </w:r>
      <w:r w:rsidR="003145EA" w:rsidRPr="0065520F">
        <w:rPr>
          <w:rFonts w:eastAsia="TimesNewRomanPSMT"/>
        </w:rPr>
        <w:t>одеща организация</w:t>
      </w:r>
      <w:r w:rsidR="00752A0C">
        <w:rPr>
          <w:rFonts w:eastAsia="TimesNewRomanPSMT"/>
        </w:rPr>
        <w:t>,</w:t>
      </w:r>
      <w:r w:rsidR="00752A0C" w:rsidRPr="0065520F">
        <w:rPr>
          <w:rFonts w:eastAsia="TimesNewRomanPSMT"/>
        </w:rPr>
        <w:t xml:space="preserve"> отчита</w:t>
      </w:r>
      <w:r w:rsidR="003145EA" w:rsidRPr="0065520F">
        <w:rPr>
          <w:rFonts w:eastAsia="TimesNewRomanPSMT"/>
        </w:rPr>
        <w:t xml:space="preserve"> общите разходи и прави</w:t>
      </w:r>
      <w:r w:rsidR="003145EA" w:rsidRPr="00985E27">
        <w:rPr>
          <w:rFonts w:eastAsia="TimesNewRomanPSMT"/>
        </w:rPr>
        <w:t xml:space="preserve"> </w:t>
      </w:r>
      <w:r w:rsidR="003145EA" w:rsidRPr="0065520F">
        <w:rPr>
          <w:rFonts w:eastAsia="TimesNewRomanPSMT"/>
        </w:rPr>
        <w:t>общи искания за междинни плащания, като от своя страна превежда на партньорите нови суми</w:t>
      </w:r>
      <w:r w:rsidR="003145EA" w:rsidRPr="00985E27">
        <w:rPr>
          <w:rFonts w:eastAsia="TimesNewRomanPSMT"/>
        </w:rPr>
        <w:t xml:space="preserve"> </w:t>
      </w:r>
      <w:r w:rsidR="003145EA" w:rsidRPr="0065520F">
        <w:rPr>
          <w:rFonts w:eastAsia="TimesNewRomanPSMT"/>
        </w:rPr>
        <w:t>само след одобряване на отчетни документи за извършени плащания</w:t>
      </w:r>
      <w:r w:rsidR="003145EA" w:rsidRPr="00985E27">
        <w:rPr>
          <w:rFonts w:eastAsia="TimesNewRomanPSMT"/>
        </w:rPr>
        <w:t>.</w:t>
      </w:r>
    </w:p>
    <w:p w:rsidR="005B54F2" w:rsidRDefault="005B54F2" w:rsidP="005B54F2">
      <w:pPr>
        <w:jc w:val="both"/>
      </w:pPr>
      <w:r w:rsidRPr="00985E27">
        <w:t>Съгласно сключения договор за безвъзмездна финансова помощ</w:t>
      </w:r>
      <w:r w:rsidR="00C1770E">
        <w:t>,</w:t>
      </w:r>
      <w:r w:rsidRPr="00985E27">
        <w:t xml:space="preserve"> въ</w:t>
      </w:r>
      <w:r w:rsidRPr="0065520F">
        <w:rPr>
          <w:rFonts w:eastAsia="TimesNewRomanPSMT"/>
        </w:rPr>
        <w:t>злагането на външни изпълнители се извършва съгласно З</w:t>
      </w:r>
      <w:r w:rsidRPr="005B54F2">
        <w:rPr>
          <w:rFonts w:eastAsia="TimesNewRomanPSMT"/>
        </w:rPr>
        <w:t>акона за обществените поръчки</w:t>
      </w:r>
      <w:r w:rsidRPr="0065520F">
        <w:rPr>
          <w:rFonts w:eastAsia="TimesNewRomanPSMT"/>
        </w:rPr>
        <w:t xml:space="preserve"> от всяка от партньорските</w:t>
      </w:r>
      <w:r w:rsidRPr="005B54F2">
        <w:rPr>
          <w:rFonts w:eastAsia="TimesNewRomanPSMT"/>
        </w:rPr>
        <w:t xml:space="preserve"> </w:t>
      </w:r>
      <w:r w:rsidRPr="0065520F">
        <w:rPr>
          <w:rFonts w:eastAsia="TimesNewRomanPSMT"/>
        </w:rPr>
        <w:t>организации.</w:t>
      </w:r>
      <w:r w:rsidRPr="00985E27">
        <w:t xml:space="preserve"> </w:t>
      </w:r>
    </w:p>
    <w:p w:rsidR="00092D07" w:rsidRDefault="00092D07" w:rsidP="00092D07">
      <w:pPr>
        <w:jc w:val="both"/>
        <w:rPr>
          <w:rFonts w:eastAsia="TimesNewRomanPSMT"/>
        </w:rPr>
      </w:pPr>
      <w:r>
        <w:rPr>
          <w:rFonts w:eastAsia="TimesNewRomanPSMT"/>
        </w:rPr>
        <w:t>Планирана продължителност на дейностите, включени в етап</w:t>
      </w:r>
      <w:r w:rsidR="00FC248E">
        <w:rPr>
          <w:rFonts w:eastAsia="TimesNewRomanPSMT"/>
        </w:rPr>
        <w:t>и 8 „Организация и управление на проекта“, 9 „Дейности по информиране и публичност“ и 10</w:t>
      </w:r>
      <w:r>
        <w:rPr>
          <w:rFonts w:eastAsia="TimesNewRomanPSMT"/>
        </w:rPr>
        <w:t xml:space="preserve"> </w:t>
      </w:r>
      <w:r w:rsidR="00FC248E">
        <w:rPr>
          <w:rFonts w:eastAsia="TimesNewRomanPSMT"/>
        </w:rPr>
        <w:t>„Дейности по независим външен одит“</w:t>
      </w:r>
      <w:r>
        <w:rPr>
          <w:rFonts w:eastAsia="TimesNewRomanPSMT"/>
        </w:rPr>
        <w:t xml:space="preserve">– </w:t>
      </w:r>
      <w:r w:rsidR="00FC248E">
        <w:rPr>
          <w:rFonts w:eastAsia="TimesNewRomanPSMT"/>
        </w:rPr>
        <w:t>64</w:t>
      </w:r>
      <w:r>
        <w:rPr>
          <w:rFonts w:eastAsia="TimesNewRomanPSMT"/>
        </w:rPr>
        <w:t xml:space="preserve"> месеца.</w:t>
      </w:r>
    </w:p>
    <w:p w:rsidR="00092D07" w:rsidRPr="00FC248E" w:rsidRDefault="00092D07" w:rsidP="00092D07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Прогнозна стойност на дейностите, включени в </w:t>
      </w:r>
      <w:r w:rsidRPr="008117FD">
        <w:rPr>
          <w:rFonts w:eastAsia="TimesNewRomanPSMT"/>
        </w:rPr>
        <w:t>етап</w:t>
      </w:r>
      <w:r w:rsidR="00FC248E">
        <w:rPr>
          <w:rFonts w:eastAsia="TimesNewRomanPSMT"/>
        </w:rPr>
        <w:t>и 8, 9 и 10</w:t>
      </w:r>
      <w:r w:rsidRPr="00C52FF0">
        <w:rPr>
          <w:rFonts w:eastAsia="TimesNewRomanPSMT"/>
        </w:rPr>
        <w:t xml:space="preserve"> </w:t>
      </w:r>
      <w:r w:rsidRPr="00FC248E">
        <w:rPr>
          <w:rFonts w:eastAsia="TimesNewRomanPSMT"/>
        </w:rPr>
        <w:t>-</w:t>
      </w:r>
      <w:r w:rsidR="00FC248E" w:rsidRPr="00D4246D">
        <w:rPr>
          <w:rFonts w:eastAsia="TimesNewRomanPSMT"/>
          <w:lang w:val="en-US"/>
        </w:rPr>
        <w:t xml:space="preserve"> </w:t>
      </w:r>
      <w:r w:rsidR="0065196B">
        <w:rPr>
          <w:rFonts w:eastAsia="TimesNewRomanPSMT"/>
        </w:rPr>
        <w:t>1 744 358.12</w:t>
      </w:r>
      <w:r w:rsidRPr="00FC248E">
        <w:rPr>
          <w:rFonts w:eastAsia="TimesNewRomanPSMT"/>
        </w:rPr>
        <w:t>лв.</w:t>
      </w:r>
    </w:p>
    <w:p w:rsidR="005B54F2" w:rsidRPr="00985E27" w:rsidRDefault="005B54F2" w:rsidP="005B54F2">
      <w:pPr>
        <w:jc w:val="both"/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rFonts w:eastAsia="TimesNewRomanPSMT"/>
          <w:b/>
        </w:rPr>
      </w:pPr>
      <w:proofErr w:type="spellStart"/>
      <w:r w:rsidRPr="00985E27">
        <w:rPr>
          <w:b/>
          <w:lang w:val="en-US"/>
        </w:rPr>
        <w:t>Дейности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по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информиране</w:t>
      </w:r>
      <w:proofErr w:type="spellEnd"/>
      <w:r w:rsidRPr="00985E27">
        <w:rPr>
          <w:b/>
          <w:lang w:val="en-US"/>
        </w:rPr>
        <w:t xml:space="preserve"> и </w:t>
      </w:r>
      <w:proofErr w:type="spellStart"/>
      <w:r w:rsidRPr="00985E27">
        <w:rPr>
          <w:b/>
          <w:lang w:val="en-US"/>
        </w:rPr>
        <w:t>публичност</w:t>
      </w:r>
      <w:proofErr w:type="spellEnd"/>
    </w:p>
    <w:p w:rsidR="005778E3" w:rsidRDefault="002A0782" w:rsidP="00ED3D43">
      <w:pPr>
        <w:jc w:val="both"/>
      </w:pPr>
      <w:r w:rsidRPr="00985E27">
        <w:rPr>
          <w:rFonts w:eastAsia="TimesNewRomanPSMT"/>
        </w:rPr>
        <w:t xml:space="preserve">При изпълнение на проекта партньорите </w:t>
      </w:r>
      <w:r w:rsidRPr="00985E27">
        <w:t xml:space="preserve">прилагат подходящи мерки за публичност и информираност съгласно правилата на </w:t>
      </w:r>
      <w:r w:rsidR="00752A0C" w:rsidRPr="00752A0C">
        <w:t>Единния наръчник на бенефициента за прилагане на правилата за информация и комуникация 2014-2020 г.</w:t>
      </w:r>
      <w:r w:rsidR="00752A0C">
        <w:t xml:space="preserve"> и </w:t>
      </w:r>
      <w:r w:rsidRPr="00985E27">
        <w:t xml:space="preserve">Приложение XII на </w:t>
      </w:r>
      <w:r w:rsidRPr="00752A0C">
        <w:t xml:space="preserve">Регламент (ЕС) № 1303/2013 </w:t>
      </w:r>
      <w:r w:rsidR="00752A0C" w:rsidRPr="00752A0C">
        <w:rPr>
          <w:shd w:val="clear" w:color="auto" w:fill="FFFFFF"/>
        </w:rPr>
        <w:t>на Европейския парламент и на Съвета от 17 декември 2013 година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 1083/2006 на Съвета</w:t>
      </w:r>
      <w:r w:rsidR="00BA3B9F">
        <w:t>.</w:t>
      </w:r>
    </w:p>
    <w:p w:rsidR="00BA3B9F" w:rsidRPr="00985E27" w:rsidRDefault="00BA3B9F" w:rsidP="00ED3D43">
      <w:pPr>
        <w:jc w:val="both"/>
      </w:pPr>
    </w:p>
    <w:p w:rsidR="003145EA" w:rsidRPr="00985E27" w:rsidRDefault="003145EA" w:rsidP="00866754">
      <w:pPr>
        <w:pStyle w:val="ListParagraph"/>
        <w:numPr>
          <w:ilvl w:val="0"/>
          <w:numId w:val="7"/>
        </w:numPr>
        <w:jc w:val="both"/>
        <w:rPr>
          <w:b/>
          <w:lang w:val="en-US"/>
        </w:rPr>
      </w:pPr>
      <w:proofErr w:type="spellStart"/>
      <w:r w:rsidRPr="00985E27">
        <w:rPr>
          <w:b/>
          <w:lang w:val="en-US"/>
        </w:rPr>
        <w:t>Дейности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по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независим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външен</w:t>
      </w:r>
      <w:proofErr w:type="spellEnd"/>
      <w:r w:rsidRPr="00985E27">
        <w:rPr>
          <w:b/>
          <w:lang w:val="en-US"/>
        </w:rPr>
        <w:t xml:space="preserve"> </w:t>
      </w:r>
      <w:proofErr w:type="spellStart"/>
      <w:r w:rsidRPr="00985E27">
        <w:rPr>
          <w:b/>
          <w:lang w:val="en-US"/>
        </w:rPr>
        <w:t>одит</w:t>
      </w:r>
      <w:proofErr w:type="spellEnd"/>
    </w:p>
    <w:p w:rsidR="003145EA" w:rsidRPr="00985E27" w:rsidRDefault="003145EA" w:rsidP="00ED3D43">
      <w:pPr>
        <w:jc w:val="both"/>
        <w:rPr>
          <w:rFonts w:eastAsia="TimesNewRomanPSMT"/>
        </w:rPr>
      </w:pPr>
      <w:proofErr w:type="spellStart"/>
      <w:r w:rsidRPr="00985E27">
        <w:rPr>
          <w:rFonts w:eastAsia="TimesNewRomanPSMT"/>
          <w:lang w:val="en-US"/>
        </w:rPr>
        <w:t>Независим</w:t>
      </w:r>
      <w:r w:rsidRPr="00985E27">
        <w:rPr>
          <w:rFonts w:eastAsia="TimesNewRomanPSMT"/>
        </w:rPr>
        <w:t>ият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външен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одит</w:t>
      </w:r>
      <w:proofErr w:type="spellEnd"/>
      <w:r w:rsidRPr="00985E27">
        <w:rPr>
          <w:rFonts w:eastAsia="TimesNewRomanPSMT"/>
          <w:lang w:val="en-US"/>
        </w:rPr>
        <w:t xml:space="preserve"> </w:t>
      </w:r>
      <w:r w:rsidRPr="00985E27">
        <w:rPr>
          <w:rFonts w:eastAsia="TimesNewRomanPSMT"/>
        </w:rPr>
        <w:t>има за задача да установи</w:t>
      </w:r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дали</w:t>
      </w:r>
      <w:proofErr w:type="spellEnd"/>
      <w:r w:rsidRPr="00985E27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проектираните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дейности</w:t>
      </w:r>
      <w:proofErr w:type="spellEnd"/>
      <w:r w:rsidRPr="00985E27">
        <w:rPr>
          <w:rFonts w:eastAsia="TimesNewRomanPSMT"/>
          <w:lang w:val="en-US"/>
        </w:rPr>
        <w:t xml:space="preserve"> с</w:t>
      </w:r>
      <w:r w:rsidRPr="00985E27">
        <w:rPr>
          <w:rFonts w:eastAsia="TimesNewRomanPSMT"/>
        </w:rPr>
        <w:t>а</w:t>
      </w:r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осъществени</w:t>
      </w:r>
      <w:proofErr w:type="spellEnd"/>
      <w:r w:rsidRPr="00985E27">
        <w:rPr>
          <w:rFonts w:eastAsia="TimesNewRomanPSMT"/>
          <w:lang w:val="en-US"/>
        </w:rPr>
        <w:t>/</w:t>
      </w:r>
      <w:proofErr w:type="spellStart"/>
      <w:r w:rsidRPr="00985E27">
        <w:rPr>
          <w:rFonts w:eastAsia="TimesNewRomanPSMT"/>
          <w:lang w:val="en-US"/>
        </w:rPr>
        <w:t>функционират</w:t>
      </w:r>
      <w:proofErr w:type="spellEnd"/>
      <w:r w:rsidRPr="00985E27">
        <w:rPr>
          <w:rFonts w:eastAsia="TimesNewRomanPSMT"/>
          <w:lang w:val="en-US"/>
        </w:rPr>
        <w:t xml:space="preserve"> в </w:t>
      </w:r>
      <w:proofErr w:type="spellStart"/>
      <w:r w:rsidRPr="00985E27">
        <w:rPr>
          <w:rFonts w:eastAsia="TimesNewRomanPSMT"/>
          <w:lang w:val="en-US"/>
        </w:rPr>
        <w:t>съответствие</w:t>
      </w:r>
      <w:proofErr w:type="spellEnd"/>
      <w:r w:rsidRPr="00985E27">
        <w:rPr>
          <w:rFonts w:eastAsia="TimesNewRomanPSMT"/>
          <w:lang w:val="en-US"/>
        </w:rPr>
        <w:t xml:space="preserve"> с </w:t>
      </w:r>
      <w:proofErr w:type="spellStart"/>
      <w:r w:rsidRPr="00985E27">
        <w:rPr>
          <w:rFonts w:eastAsia="TimesNewRomanPSMT"/>
          <w:lang w:val="en-US"/>
        </w:rPr>
        <w:t>принципите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за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добро</w:t>
      </w:r>
      <w:proofErr w:type="spellEnd"/>
      <w:r w:rsidRPr="00985E27">
        <w:rPr>
          <w:rFonts w:eastAsia="TimesNewRomanPSMT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финансово</w:t>
      </w:r>
      <w:proofErr w:type="spellEnd"/>
      <w:r w:rsidRPr="00985E27">
        <w:rPr>
          <w:rFonts w:eastAsia="TimesNewRomanPSMT"/>
          <w:lang w:val="en-US"/>
        </w:rPr>
        <w:t xml:space="preserve"> </w:t>
      </w:r>
      <w:proofErr w:type="spellStart"/>
      <w:r w:rsidRPr="00985E27">
        <w:rPr>
          <w:rFonts w:eastAsia="TimesNewRomanPSMT"/>
          <w:lang w:val="en-US"/>
        </w:rPr>
        <w:t>управление</w:t>
      </w:r>
      <w:proofErr w:type="spellEnd"/>
      <w:r w:rsidRPr="00985E27">
        <w:rPr>
          <w:rFonts w:eastAsia="TimesNewRomanPSMT"/>
          <w:lang w:val="en-US"/>
        </w:rPr>
        <w:t xml:space="preserve">: </w:t>
      </w:r>
      <w:proofErr w:type="spellStart"/>
      <w:r w:rsidRPr="00985E27">
        <w:rPr>
          <w:rFonts w:eastAsia="TimesNewRomanPSMT"/>
          <w:lang w:val="en-US"/>
        </w:rPr>
        <w:t>икономичност</w:t>
      </w:r>
      <w:proofErr w:type="spellEnd"/>
      <w:r w:rsidRPr="00985E27">
        <w:rPr>
          <w:rFonts w:eastAsia="TimesNewRomanPSMT"/>
          <w:lang w:val="en-US"/>
        </w:rPr>
        <w:t xml:space="preserve">, </w:t>
      </w:r>
      <w:proofErr w:type="spellStart"/>
      <w:r w:rsidRPr="00985E27">
        <w:rPr>
          <w:rFonts w:eastAsia="TimesNewRomanPSMT"/>
          <w:lang w:val="en-US"/>
        </w:rPr>
        <w:t>ефикасност</w:t>
      </w:r>
      <w:proofErr w:type="spellEnd"/>
      <w:r w:rsidRPr="00985E27">
        <w:rPr>
          <w:rFonts w:eastAsia="TimesNewRomanPSMT"/>
          <w:lang w:val="en-US"/>
        </w:rPr>
        <w:t xml:space="preserve"> и </w:t>
      </w:r>
      <w:proofErr w:type="spellStart"/>
      <w:r w:rsidRPr="00985E27">
        <w:rPr>
          <w:rFonts w:eastAsia="TimesNewRomanPSMT"/>
          <w:lang w:val="en-US"/>
        </w:rPr>
        <w:t>ефективност</w:t>
      </w:r>
      <w:proofErr w:type="spellEnd"/>
      <w:r w:rsidRPr="00985E27">
        <w:rPr>
          <w:rFonts w:eastAsia="TimesNewRomanPSMT"/>
        </w:rPr>
        <w:t>.</w:t>
      </w:r>
    </w:p>
    <w:p w:rsidR="003145EA" w:rsidRPr="00985E27" w:rsidRDefault="003145EA" w:rsidP="00ED3D43">
      <w:pPr>
        <w:jc w:val="both"/>
        <w:rPr>
          <w:rFonts w:eastAsiaTheme="minorHAnsi"/>
          <w:lang w:eastAsia="en-US"/>
        </w:rPr>
      </w:pPr>
    </w:p>
    <w:p w:rsidR="007021EA" w:rsidRPr="00985E27" w:rsidRDefault="007021EA" w:rsidP="00BF1361">
      <w:pPr>
        <w:pStyle w:val="ListParagraph"/>
        <w:numPr>
          <w:ilvl w:val="0"/>
          <w:numId w:val="2"/>
        </w:numPr>
        <w:jc w:val="both"/>
        <w:rPr>
          <w:rFonts w:eastAsiaTheme="minorHAnsi"/>
          <w:b/>
          <w:color w:val="000000"/>
          <w:lang w:eastAsia="en-US"/>
        </w:rPr>
      </w:pPr>
      <w:r w:rsidRPr="00985E27">
        <w:rPr>
          <w:rFonts w:eastAsiaTheme="minorHAnsi"/>
          <w:b/>
          <w:color w:val="000000"/>
          <w:lang w:eastAsia="en-US"/>
        </w:rPr>
        <w:t>ОЧАКВАНИ РЕЗУЛТАТИ ОТ ПРОЕКТА</w:t>
      </w:r>
    </w:p>
    <w:p w:rsidR="007021EA" w:rsidRPr="00985E27" w:rsidRDefault="007021EA" w:rsidP="007021EA">
      <w:pPr>
        <w:jc w:val="both"/>
        <w:rPr>
          <w:rFonts w:eastAsiaTheme="minorHAnsi"/>
          <w:color w:val="000000"/>
          <w:lang w:eastAsia="en-US"/>
        </w:rPr>
      </w:pPr>
    </w:p>
    <w:p w:rsidR="007021EA" w:rsidRPr="0065520F" w:rsidRDefault="007021EA" w:rsidP="007021EA">
      <w:pPr>
        <w:jc w:val="both"/>
        <w:rPr>
          <w:rFonts w:eastAsiaTheme="minorHAnsi"/>
          <w:color w:val="000000"/>
          <w:lang w:eastAsia="en-US"/>
        </w:rPr>
      </w:pPr>
      <w:r w:rsidRPr="0065520F">
        <w:rPr>
          <w:rFonts w:eastAsiaTheme="minorHAnsi"/>
          <w:color w:val="000000"/>
          <w:lang w:eastAsia="en-US"/>
        </w:rPr>
        <w:lastRenderedPageBreak/>
        <w:t>Непосредствените резултати</w:t>
      </w:r>
      <w:r w:rsidRPr="00985E27">
        <w:rPr>
          <w:rFonts w:eastAsiaTheme="minorHAnsi"/>
          <w:color w:val="000000"/>
          <w:lang w:eastAsia="en-US"/>
        </w:rPr>
        <w:t xml:space="preserve"> от изпълнение на проекта са насочени към</w:t>
      </w:r>
      <w:r w:rsidR="004F66D6" w:rsidRPr="0065520F">
        <w:rPr>
          <w:rFonts w:eastAsiaTheme="minorHAnsi"/>
          <w:color w:val="000000"/>
          <w:lang w:eastAsia="en-US"/>
        </w:rPr>
        <w:t xml:space="preserve"> осигуряване на теор</w:t>
      </w:r>
      <w:r w:rsidR="004F66D6">
        <w:rPr>
          <w:rFonts w:eastAsiaTheme="minorHAnsi"/>
          <w:color w:val="000000"/>
          <w:lang w:eastAsia="en-US"/>
        </w:rPr>
        <w:t>е</w:t>
      </w:r>
      <w:r w:rsidRPr="0065520F">
        <w:rPr>
          <w:rFonts w:eastAsiaTheme="minorHAnsi"/>
          <w:color w:val="000000"/>
          <w:lang w:eastAsia="en-US"/>
        </w:rPr>
        <w:t>тична и методологична въоръженост, позволяващи</w:t>
      </w:r>
      <w:r w:rsidRPr="00985E27">
        <w:rPr>
          <w:rFonts w:eastAsiaTheme="minorHAnsi"/>
          <w:color w:val="000000"/>
          <w:lang w:eastAsia="en-US"/>
        </w:rPr>
        <w:t>:</w:t>
      </w:r>
      <w:r w:rsidRPr="0065520F">
        <w:rPr>
          <w:rFonts w:eastAsiaTheme="minorHAnsi"/>
          <w:color w:val="000000"/>
          <w:lang w:eastAsia="en-US"/>
        </w:rPr>
        <w:t xml:space="preserve">    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навременна и точна диагноза за адекватна терапия на инфекциозните заболявания;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предотвратяване на епидемични взривове от нововъзникващи и непознати патогени;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епидемиологично прогнозиране и насочена превенция на социално значими инфекциозни заболявания;</w:t>
      </w:r>
    </w:p>
    <w:p w:rsidR="007021EA" w:rsidRPr="0065520F" w:rsidRDefault="007021EA" w:rsidP="00BF1361">
      <w:pPr>
        <w:pStyle w:val="ListParagraph"/>
        <w:numPr>
          <w:ilvl w:val="0"/>
          <w:numId w:val="3"/>
        </w:numPr>
        <w:jc w:val="both"/>
        <w:rPr>
          <w:rFonts w:eastAsiaTheme="minorHAnsi"/>
          <w:color w:val="000000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персонализирани методи за диагностика, мониторинг и лечение  на остри и хронични инфекции и техните усложнения;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Theme="minorHAnsi"/>
          <w:color w:val="000000"/>
          <w:lang w:eastAsia="en-US"/>
        </w:rPr>
        <w:t xml:space="preserve">осигуряване на </w:t>
      </w:r>
      <w:r w:rsidRPr="0065520F">
        <w:rPr>
          <w:rFonts w:eastAsiaTheme="minorHAnsi"/>
          <w:color w:val="000000"/>
          <w:lang w:eastAsia="en-US"/>
        </w:rPr>
        <w:t xml:space="preserve">възможности за </w:t>
      </w:r>
      <w:r w:rsidRPr="00985E27">
        <w:rPr>
          <w:rFonts w:eastAsia="SimSun"/>
          <w:color w:val="000000"/>
          <w:kern w:val="3"/>
          <w:lang w:eastAsia="en-US"/>
        </w:rPr>
        <w:t>обучение и колаборация в подобрена, динамична и интерактивна изследователска среда;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колаборация и специализация в условията на ефективни  национални  и международни мрежи;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активен обмен и разпространение на познания сред научната общност;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осъществяване на стратегически партньорства с водещи технологични изследователски организации и фирми в Европа;</w:t>
      </w:r>
    </w:p>
    <w:p w:rsidR="007021EA" w:rsidRPr="00985E27" w:rsidRDefault="007021EA" w:rsidP="00BF1361">
      <w:pPr>
        <w:pStyle w:val="ListParagraph"/>
        <w:numPr>
          <w:ilvl w:val="0"/>
          <w:numId w:val="3"/>
        </w:numPr>
        <w:jc w:val="both"/>
        <w:rPr>
          <w:rFonts w:eastAsia="SimSun"/>
          <w:color w:val="000000"/>
          <w:kern w:val="3"/>
          <w:lang w:eastAsia="en-US"/>
        </w:rPr>
      </w:pPr>
      <w:r w:rsidRPr="00985E27">
        <w:rPr>
          <w:rFonts w:eastAsia="SimSun"/>
          <w:color w:val="000000"/>
          <w:kern w:val="3"/>
          <w:lang w:eastAsia="en-US"/>
        </w:rPr>
        <w:t>разработване и комерсиализиране на собствено портфолио с права върху интелектуалната собственост.</w:t>
      </w:r>
    </w:p>
    <w:p w:rsidR="005778E3" w:rsidRPr="00985E27" w:rsidRDefault="005778E3" w:rsidP="00ED3D43">
      <w:pPr>
        <w:jc w:val="both"/>
        <w:rPr>
          <w:rFonts w:eastAsiaTheme="minorHAnsi"/>
          <w:lang w:eastAsia="en-US"/>
        </w:rPr>
      </w:pPr>
    </w:p>
    <w:p w:rsidR="003145EA" w:rsidRPr="00985E27" w:rsidRDefault="005778E3" w:rsidP="00BF1361">
      <w:pPr>
        <w:pStyle w:val="ListParagraph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985E27">
        <w:rPr>
          <w:rFonts w:eastAsiaTheme="minorHAnsi"/>
          <w:b/>
          <w:lang w:eastAsia="en-US"/>
        </w:rPr>
        <w:t>ПАРТНЬОРИ ПО ПРОЕКТА</w:t>
      </w:r>
    </w:p>
    <w:p w:rsidR="005778E3" w:rsidRPr="00985E27" w:rsidRDefault="005778E3" w:rsidP="005778E3">
      <w:pPr>
        <w:pStyle w:val="ListParagraph"/>
        <w:jc w:val="both"/>
        <w:rPr>
          <w:rFonts w:eastAsiaTheme="minorHAnsi"/>
          <w:b/>
          <w:lang w:eastAsia="en-US"/>
        </w:rPr>
      </w:pPr>
    </w:p>
    <w:p w:rsidR="003145EA" w:rsidRPr="00985E27" w:rsidRDefault="003145EA" w:rsidP="00BF1361">
      <w:pPr>
        <w:pStyle w:val="ListParagraph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985E27">
        <w:t>Националният център по заразни и паразитни болести</w:t>
      </w:r>
      <w:r w:rsidR="004F66D6">
        <w:t xml:space="preserve"> </w:t>
      </w:r>
      <w:r w:rsidR="004F66D6" w:rsidRPr="0065520F">
        <w:t>(</w:t>
      </w:r>
      <w:r w:rsidR="0050218F">
        <w:t xml:space="preserve">бенефициент и </w:t>
      </w:r>
      <w:r w:rsidR="004F66D6">
        <w:t>водеща организация</w:t>
      </w:r>
      <w:r w:rsidR="004F66D6" w:rsidRPr="0065520F">
        <w:t>)</w:t>
      </w:r>
      <w:r w:rsidRPr="00985E27">
        <w:t>;</w:t>
      </w:r>
    </w:p>
    <w:p w:rsidR="003145EA" w:rsidRPr="00985E27" w:rsidRDefault="003145EA" w:rsidP="00BF1361">
      <w:pPr>
        <w:pStyle w:val="ListParagraph"/>
        <w:numPr>
          <w:ilvl w:val="0"/>
          <w:numId w:val="14"/>
        </w:numPr>
        <w:jc w:val="both"/>
      </w:pPr>
      <w:r w:rsidRPr="00985E27">
        <w:t>Институтът по микроб</w:t>
      </w:r>
      <w:r w:rsidR="004F66D6">
        <w:t xml:space="preserve">иология „Стефан Ангелов“ </w:t>
      </w:r>
      <w:r w:rsidR="0050218F">
        <w:t>към</w:t>
      </w:r>
      <w:r w:rsidR="004F66D6">
        <w:t xml:space="preserve"> БАН</w:t>
      </w:r>
      <w:r w:rsidR="0050218F">
        <w:t xml:space="preserve"> </w:t>
      </w:r>
      <w:r w:rsidR="0050218F" w:rsidRPr="0065520F">
        <w:t>(</w:t>
      </w:r>
      <w:r w:rsidR="0050218F">
        <w:t>бенефициент</w:t>
      </w:r>
      <w:r w:rsidR="0050218F" w:rsidRPr="0065520F">
        <w:t>)</w:t>
      </w:r>
      <w:r w:rsidR="004F66D6">
        <w:t>;</w:t>
      </w:r>
    </w:p>
    <w:p w:rsidR="003145EA" w:rsidRPr="00985E27" w:rsidRDefault="003145EA" w:rsidP="00BF1361">
      <w:pPr>
        <w:pStyle w:val="ListParagraph"/>
        <w:numPr>
          <w:ilvl w:val="0"/>
          <w:numId w:val="14"/>
        </w:numPr>
        <w:jc w:val="both"/>
      </w:pPr>
      <w:r w:rsidRPr="00985E27">
        <w:t>Национален диагностичен научноизследователски ветеринарномедицински институт</w:t>
      </w:r>
      <w:r w:rsidR="0050218F">
        <w:t xml:space="preserve"> </w:t>
      </w:r>
      <w:r w:rsidR="0050218F" w:rsidRPr="0065520F">
        <w:t>(</w:t>
      </w:r>
      <w:r w:rsidR="0050218F">
        <w:t>бенефициент</w:t>
      </w:r>
      <w:r w:rsidR="0050218F" w:rsidRPr="0065520F">
        <w:t>)</w:t>
      </w:r>
      <w:r w:rsidRPr="00985E27">
        <w:t>;</w:t>
      </w:r>
    </w:p>
    <w:p w:rsidR="003145EA" w:rsidRDefault="003145EA" w:rsidP="00BF1361">
      <w:pPr>
        <w:pStyle w:val="ListParagraph"/>
        <w:numPr>
          <w:ilvl w:val="0"/>
          <w:numId w:val="14"/>
        </w:numPr>
        <w:jc w:val="both"/>
      </w:pPr>
      <w:r w:rsidRPr="00985E27">
        <w:t xml:space="preserve">Медицински институт </w:t>
      </w:r>
      <w:r w:rsidR="0050218F">
        <w:t xml:space="preserve">към Министерство на вътрешните работи </w:t>
      </w:r>
      <w:r w:rsidR="0050218F" w:rsidRPr="0065520F">
        <w:t>(</w:t>
      </w:r>
      <w:r w:rsidR="0050218F">
        <w:t>бенефициент</w:t>
      </w:r>
      <w:r w:rsidR="0050218F" w:rsidRPr="0065520F">
        <w:t>)</w:t>
      </w:r>
      <w:r w:rsidRPr="0065520F">
        <w:t>.</w:t>
      </w:r>
    </w:p>
    <w:p w:rsidR="0050218F" w:rsidRPr="00985E27" w:rsidRDefault="00C1770E" w:rsidP="0050218F">
      <w:pPr>
        <w:pStyle w:val="ListParagraph"/>
        <w:jc w:val="both"/>
      </w:pPr>
      <w:r>
        <w:t xml:space="preserve"> </w:t>
      </w:r>
    </w:p>
    <w:p w:rsidR="003145EA" w:rsidRPr="00985E27" w:rsidRDefault="003145EA" w:rsidP="00ED3D43">
      <w:pPr>
        <w:jc w:val="both"/>
        <w:rPr>
          <w:rFonts w:eastAsiaTheme="minorHAnsi"/>
          <w:lang w:eastAsia="en-US"/>
        </w:rPr>
      </w:pPr>
    </w:p>
    <w:p w:rsidR="00ED3D43" w:rsidRPr="00985E27" w:rsidRDefault="005778E3" w:rsidP="00BF1361">
      <w:pPr>
        <w:pStyle w:val="ListParagraph"/>
        <w:numPr>
          <w:ilvl w:val="0"/>
          <w:numId w:val="2"/>
        </w:numPr>
        <w:jc w:val="both"/>
        <w:rPr>
          <w:rFonts w:eastAsia="Batang"/>
          <w:b/>
          <w:color w:val="000000"/>
        </w:rPr>
      </w:pPr>
      <w:r w:rsidRPr="00985E27">
        <w:rPr>
          <w:rFonts w:eastAsia="Batang"/>
          <w:b/>
          <w:color w:val="000000"/>
        </w:rPr>
        <w:t>СРОК ЗА ИЗПЪЛНЕНИЕ НА ПРОЕКТА</w:t>
      </w:r>
    </w:p>
    <w:p w:rsidR="005778E3" w:rsidRPr="00985E27" w:rsidRDefault="005778E3" w:rsidP="005778E3">
      <w:pPr>
        <w:pStyle w:val="ListParagraph"/>
        <w:jc w:val="both"/>
        <w:rPr>
          <w:rFonts w:eastAsia="Batang"/>
          <w:color w:val="000000"/>
        </w:rPr>
      </w:pPr>
    </w:p>
    <w:p w:rsidR="00ED3D43" w:rsidRPr="00985E27" w:rsidRDefault="00ED3D43" w:rsidP="00ED3D43">
      <w:pPr>
        <w:jc w:val="both"/>
      </w:pPr>
      <w:r w:rsidRPr="00985E27">
        <w:t xml:space="preserve">Срокът за изпълнение на проекта е 64 </w:t>
      </w:r>
      <w:r w:rsidRPr="0065520F">
        <w:t>(</w:t>
      </w:r>
      <w:r w:rsidRPr="00985E27">
        <w:t>шестдесет и четири</w:t>
      </w:r>
      <w:r w:rsidRPr="0065520F">
        <w:t xml:space="preserve">) </w:t>
      </w:r>
      <w:r w:rsidRPr="00985E27">
        <w:t>месеца.</w:t>
      </w:r>
    </w:p>
    <w:p w:rsidR="00ED3D43" w:rsidRDefault="00ED3D43" w:rsidP="00ED3D43">
      <w:pPr>
        <w:jc w:val="both"/>
      </w:pPr>
      <w:r w:rsidRPr="00985E27">
        <w:t>Максималната продължителност на проекта е до 31 декември 2023</w:t>
      </w:r>
      <w:r w:rsidR="00C1770E">
        <w:t xml:space="preserve"> </w:t>
      </w:r>
      <w:r w:rsidRPr="00985E27">
        <w:t>г.</w:t>
      </w:r>
    </w:p>
    <w:p w:rsidR="003D7407" w:rsidRPr="00ED5073" w:rsidRDefault="003D7407" w:rsidP="003D7407">
      <w:pPr>
        <w:jc w:val="both"/>
      </w:pPr>
      <w:r>
        <w:t>Крайният срок за подаване на окончателен финансов отчет по проекта е до 31.01.2024 г.</w:t>
      </w:r>
    </w:p>
    <w:p w:rsidR="003D7407" w:rsidRPr="00985E27" w:rsidRDefault="003D7407" w:rsidP="00ED3D43">
      <w:pPr>
        <w:jc w:val="both"/>
      </w:pPr>
    </w:p>
    <w:p w:rsidR="004361A5" w:rsidRPr="005C6679" w:rsidRDefault="00ED3D43" w:rsidP="004361A5">
      <w:pPr>
        <w:jc w:val="both"/>
        <w:rPr>
          <w:rFonts w:eastAsia="Batang"/>
          <w:iCs/>
        </w:rPr>
      </w:pPr>
      <w:r w:rsidRPr="00985E27">
        <w:rPr>
          <w:rFonts w:eastAsia="Batang"/>
          <w:iCs/>
        </w:rPr>
        <w:t xml:space="preserve">В случай, че бъде извършено удължаване на срока за изпълнение на проекта чрез сключване на анекс към договора за безвъзмездна финансова помощ или по друг ред, определен от Управляващият орган на </w:t>
      </w:r>
      <w:r w:rsidRPr="0065520F">
        <w:rPr>
          <w:rFonts w:eastAsia="Calibri"/>
          <w:shd w:val="clear" w:color="auto" w:fill="FFFFFF"/>
        </w:rPr>
        <w:t>Оперативна програма „Наука и образование за интелигентен растеж“ 2014-2020</w:t>
      </w:r>
      <w:r w:rsidRPr="00985E27">
        <w:rPr>
          <w:rFonts w:eastAsia="Batang"/>
          <w:iCs/>
        </w:rPr>
        <w:t xml:space="preserve">, дейностите по извършване на </w:t>
      </w:r>
      <w:proofErr w:type="spellStart"/>
      <w:r w:rsidR="00C72C8D">
        <w:rPr>
          <w:rFonts w:eastAsia="Batang"/>
          <w:iCs/>
        </w:rPr>
        <w:t>одитна</w:t>
      </w:r>
      <w:proofErr w:type="spellEnd"/>
      <w:r w:rsidR="00C72C8D">
        <w:rPr>
          <w:rFonts w:eastAsia="Batang"/>
          <w:iCs/>
        </w:rPr>
        <w:t xml:space="preserve"> проверка</w:t>
      </w:r>
      <w:r w:rsidRPr="00985E27">
        <w:rPr>
          <w:rFonts w:eastAsia="Batang"/>
          <w:iCs/>
        </w:rPr>
        <w:t>, предмет на настоящата обществена поръчка, също следва да бъдат извършени съобразно новия срок за приключване на проекта.</w:t>
      </w:r>
      <w:r w:rsidR="004361A5" w:rsidRPr="004361A5">
        <w:rPr>
          <w:rFonts w:eastAsia="Batang"/>
          <w:iCs/>
        </w:rPr>
        <w:t xml:space="preserve"> </w:t>
      </w:r>
      <w:r w:rsidR="004361A5">
        <w:rPr>
          <w:rFonts w:eastAsia="Batang"/>
          <w:iCs/>
        </w:rPr>
        <w:t>В този случай, на основание чл. 116, ал. 1, т. 1 от ЗОП, ще бъде подписан анекс за удължаване срока на договора за обществена поръчка.</w:t>
      </w:r>
    </w:p>
    <w:p w:rsidR="00ED3D43" w:rsidRPr="00985E27" w:rsidRDefault="00ED3D43" w:rsidP="00ED3D43">
      <w:pPr>
        <w:jc w:val="both"/>
        <w:rPr>
          <w:color w:val="FF0000"/>
        </w:rPr>
      </w:pPr>
    </w:p>
    <w:p w:rsidR="00ED3D43" w:rsidRPr="00985E27" w:rsidRDefault="00ED3D43" w:rsidP="00ED3D43">
      <w:pPr>
        <w:jc w:val="both"/>
      </w:pPr>
    </w:p>
    <w:p w:rsidR="005778E3" w:rsidRPr="00985E27" w:rsidRDefault="005778E3" w:rsidP="00BF1361">
      <w:pPr>
        <w:pStyle w:val="ListParagraph"/>
        <w:numPr>
          <w:ilvl w:val="0"/>
          <w:numId w:val="2"/>
        </w:numPr>
        <w:jc w:val="both"/>
        <w:rPr>
          <w:b/>
        </w:rPr>
      </w:pPr>
      <w:r w:rsidRPr="00985E27">
        <w:rPr>
          <w:b/>
        </w:rPr>
        <w:t>МЯСТО НА ИЗПЪЛНЕНИЕ</w:t>
      </w:r>
    </w:p>
    <w:p w:rsidR="005778E3" w:rsidRPr="00985E27" w:rsidRDefault="005778E3" w:rsidP="005778E3">
      <w:pPr>
        <w:jc w:val="both"/>
        <w:rPr>
          <w:b/>
        </w:rPr>
      </w:pPr>
    </w:p>
    <w:p w:rsidR="00ED3D43" w:rsidRPr="00985E27" w:rsidRDefault="005778E3" w:rsidP="00AF76DB">
      <w:pPr>
        <w:jc w:val="both"/>
      </w:pPr>
      <w:r w:rsidRPr="00985E27">
        <w:t>Мястото на изпълнение на обществената поръчка са адресите на всички партньори</w:t>
      </w:r>
      <w:r w:rsidR="005E207B">
        <w:t xml:space="preserve"> по</w:t>
      </w:r>
      <w:r w:rsidRPr="00985E27">
        <w:t xml:space="preserve"> проекта, а именно:</w:t>
      </w:r>
    </w:p>
    <w:p w:rsidR="00ED3D43" w:rsidRPr="00985E27" w:rsidRDefault="00ED3D43" w:rsidP="00C17600">
      <w:pPr>
        <w:pStyle w:val="ListParagraph"/>
        <w:numPr>
          <w:ilvl w:val="0"/>
          <w:numId w:val="17"/>
        </w:numPr>
        <w:jc w:val="both"/>
      </w:pPr>
      <w:r w:rsidRPr="00985E27">
        <w:t>Национален център по заразни и паразитни болести - гр. София, бул. „Янко Сакъзов“ № 26 и бул. „Генерал Столетов“ № 44А;</w:t>
      </w:r>
    </w:p>
    <w:p w:rsidR="00ED3D43" w:rsidRPr="00985E27" w:rsidRDefault="00ED3D43" w:rsidP="00C17600">
      <w:pPr>
        <w:pStyle w:val="ListParagraph"/>
        <w:numPr>
          <w:ilvl w:val="0"/>
          <w:numId w:val="17"/>
        </w:numPr>
        <w:jc w:val="both"/>
      </w:pPr>
      <w:r w:rsidRPr="00985E27">
        <w:t xml:space="preserve">Институт по микробиология „Стефан Ангелов” </w:t>
      </w:r>
      <w:r w:rsidR="00C17600">
        <w:t>към</w:t>
      </w:r>
      <w:r w:rsidRPr="00985E27">
        <w:t xml:space="preserve"> БАН - гр. София, ул. „Акад. Георги Бончев”, бл. 26;</w:t>
      </w:r>
    </w:p>
    <w:p w:rsidR="00ED3D43" w:rsidRPr="00985E27" w:rsidRDefault="00AC51BD" w:rsidP="00C17600">
      <w:pPr>
        <w:pStyle w:val="ListParagraph"/>
        <w:numPr>
          <w:ilvl w:val="0"/>
          <w:numId w:val="17"/>
        </w:numPr>
        <w:jc w:val="both"/>
      </w:pPr>
      <w:r w:rsidRPr="00985E27">
        <w:lastRenderedPageBreak/>
        <w:t>Национален диагностичен н</w:t>
      </w:r>
      <w:r w:rsidR="00ED3D43" w:rsidRPr="00985E27">
        <w:t>аучноизследова</w:t>
      </w:r>
      <w:r w:rsidRPr="00985E27">
        <w:t>телски ветеринарно м</w:t>
      </w:r>
      <w:r w:rsidR="00ED3D43" w:rsidRPr="00985E27">
        <w:t xml:space="preserve">едицински </w:t>
      </w:r>
      <w:r w:rsidRPr="00985E27">
        <w:t>и</w:t>
      </w:r>
      <w:r w:rsidR="00ED3D43" w:rsidRPr="00985E27">
        <w:t>нститут - гр. София, бул. „Пенчо Слайвеков” № 15;</w:t>
      </w:r>
    </w:p>
    <w:p w:rsidR="005F692E" w:rsidRPr="005F692E" w:rsidRDefault="00AC51BD" w:rsidP="00C17600">
      <w:pPr>
        <w:pStyle w:val="ListParagraph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985E27">
        <w:t>Медицински и</w:t>
      </w:r>
      <w:r w:rsidR="00ED3D43" w:rsidRPr="00985E27">
        <w:t xml:space="preserve">ститут </w:t>
      </w:r>
      <w:r w:rsidR="00C17600">
        <w:t>към</w:t>
      </w:r>
      <w:r w:rsidR="00ED3D43" w:rsidRPr="00985E27">
        <w:t xml:space="preserve"> МВР - гр. София, бул. „Ген. Михаил Скобелев” № 79</w:t>
      </w:r>
      <w:r w:rsidR="005F692E">
        <w:t>.</w:t>
      </w:r>
    </w:p>
    <w:p w:rsidR="00ED3D43" w:rsidRPr="00985E27" w:rsidRDefault="00ED3D43" w:rsidP="005F692E">
      <w:pPr>
        <w:pStyle w:val="ListParagraph"/>
        <w:jc w:val="both"/>
        <w:rPr>
          <w:rFonts w:eastAsia="Calibri"/>
          <w:lang w:eastAsia="en-US"/>
        </w:rPr>
      </w:pPr>
    </w:p>
    <w:p w:rsidR="0028795B" w:rsidRPr="004E0C10" w:rsidRDefault="0028795B" w:rsidP="004E0C10">
      <w:pPr>
        <w:pStyle w:val="ListParagraph"/>
        <w:jc w:val="both"/>
        <w:rPr>
          <w:b/>
        </w:rPr>
      </w:pPr>
    </w:p>
    <w:p w:rsidR="003145EA" w:rsidRPr="00985E27" w:rsidRDefault="004E0C10" w:rsidP="00BF136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="00370FB2" w:rsidRPr="00985E27">
        <w:rPr>
          <w:b/>
        </w:rPr>
        <w:t>ИЗИСКВ</w:t>
      </w:r>
      <w:r w:rsidR="006D34A1" w:rsidRPr="00985E27">
        <w:rPr>
          <w:b/>
        </w:rPr>
        <w:t>А</w:t>
      </w:r>
      <w:r w:rsidR="00370FB2" w:rsidRPr="00985E27">
        <w:rPr>
          <w:b/>
        </w:rPr>
        <w:t xml:space="preserve">НИЯ ЗА ИЗПЪЛНЕНИЕ НА  </w:t>
      </w:r>
      <w:r w:rsidR="007342D9">
        <w:rPr>
          <w:b/>
        </w:rPr>
        <w:t xml:space="preserve">АНГАЖИМЕНТА ЗА ИЗВЪРШВАНЕ НА ДОГОВОРЕНИ </w:t>
      </w:r>
      <w:r w:rsidR="00EE27DB">
        <w:rPr>
          <w:b/>
        </w:rPr>
        <w:t xml:space="preserve">ПРОЦЕДУРИ </w:t>
      </w:r>
      <w:r w:rsidR="00370FB2" w:rsidRPr="00985E27">
        <w:rPr>
          <w:b/>
        </w:rPr>
        <w:t>ПО ПРОЕКТА</w:t>
      </w:r>
    </w:p>
    <w:p w:rsidR="0000790B" w:rsidRPr="00985E27" w:rsidRDefault="0000790B" w:rsidP="0000790B">
      <w:pPr>
        <w:ind w:left="360"/>
        <w:jc w:val="both"/>
      </w:pPr>
    </w:p>
    <w:p w:rsidR="009B2A48" w:rsidRPr="00F47BB6" w:rsidRDefault="009B2A48" w:rsidP="009B2A48">
      <w:pPr>
        <w:pStyle w:val="ListParagraph"/>
        <w:numPr>
          <w:ilvl w:val="0"/>
          <w:numId w:val="36"/>
        </w:numPr>
        <w:ind w:right="138"/>
        <w:jc w:val="both"/>
        <w:rPr>
          <w:b/>
        </w:rPr>
      </w:pPr>
      <w:r w:rsidRPr="00F47BB6">
        <w:rPr>
          <w:b/>
        </w:rPr>
        <w:t>Обхват на проверките</w:t>
      </w:r>
    </w:p>
    <w:p w:rsidR="00F47BB6" w:rsidRDefault="00F47BB6" w:rsidP="00F47BB6">
      <w:pPr>
        <w:pStyle w:val="ListParagraph"/>
        <w:ind w:right="138"/>
        <w:jc w:val="both"/>
      </w:pPr>
    </w:p>
    <w:p w:rsidR="00745F4D" w:rsidRPr="00985E27" w:rsidRDefault="009B2A48" w:rsidP="009B2A48">
      <w:pPr>
        <w:pStyle w:val="ListParagraph"/>
        <w:ind w:right="138"/>
        <w:jc w:val="both"/>
      </w:pPr>
      <w:r>
        <w:t>П</w:t>
      </w:r>
      <w:r w:rsidR="00745F4D" w:rsidRPr="00985E27">
        <w:t xml:space="preserve">редназначението на </w:t>
      </w:r>
      <w:r w:rsidR="00B50E4C">
        <w:t>ангажимента за извършване на договорни процедури</w:t>
      </w:r>
      <w:r w:rsidR="00745F4D" w:rsidRPr="00985E27">
        <w:t xml:space="preserve"> е да </w:t>
      </w:r>
      <w:r w:rsidR="00B50E4C">
        <w:t>даде</w:t>
      </w:r>
      <w:r w:rsidR="00745F4D" w:rsidRPr="00985E27">
        <w:t xml:space="preserve"> обективна оценка на законосъобразността и </w:t>
      </w:r>
      <w:r w:rsidR="00C72C8D">
        <w:t>допустимостта</w:t>
      </w:r>
      <w:r w:rsidR="00745F4D" w:rsidRPr="00985E27">
        <w:t xml:space="preserve"> на разходваните средст</w:t>
      </w:r>
      <w:r w:rsidR="00985E27">
        <w:t>ва при изпълнение на дейностите</w:t>
      </w:r>
      <w:r w:rsidR="00985E27" w:rsidRPr="009B2A48">
        <w:rPr>
          <w:rFonts w:eastAsia="Batang"/>
          <w:color w:val="000000"/>
        </w:rPr>
        <w:t>, които се извършват през целия цикъл на проекта</w:t>
      </w:r>
      <w:r w:rsidR="00745F4D" w:rsidRPr="00985E27">
        <w:t xml:space="preserve">, с оглед </w:t>
      </w:r>
      <w:r w:rsidR="00C1770E">
        <w:t xml:space="preserve">на </w:t>
      </w:r>
      <w:r w:rsidR="00745F4D" w:rsidRPr="00985E27">
        <w:t>което трябва да включва следните проверки:</w:t>
      </w:r>
    </w:p>
    <w:p w:rsidR="00745F4D" w:rsidRPr="0023598E" w:rsidRDefault="00745F4D" w:rsidP="00536A68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>Дали дейностите по проекта са осъществени в съответствие с принципите за добро финансово управление, т.е.</w:t>
      </w:r>
      <w:r w:rsidR="00C1770E">
        <w:t xml:space="preserve"> </w:t>
      </w:r>
      <w:r w:rsidRPr="00985E27">
        <w:t xml:space="preserve">дали средствата са изразходвани икономично, ефективно и ефикасно. В резултат от извършения </w:t>
      </w:r>
      <w:r w:rsidR="00B50E4C">
        <w:t>ангажимент</w:t>
      </w:r>
      <w:r w:rsidRPr="00985E27">
        <w:t xml:space="preserve">, </w:t>
      </w:r>
      <w:proofErr w:type="spellStart"/>
      <w:r w:rsidRPr="00985E27">
        <w:t>одиторът</w:t>
      </w:r>
      <w:proofErr w:type="spellEnd"/>
      <w:r w:rsidRPr="00985E27">
        <w:t xml:space="preserve"> трябва да </w:t>
      </w:r>
      <w:r w:rsidR="00B50E4C">
        <w:t>формулира констатации относно:</w:t>
      </w:r>
      <w:r w:rsidRPr="00985E27">
        <w:t xml:space="preserve"> ресурсите, използвани за осъществяване на проекта, са в подходящото количество и качество и на най-добрата възможна цена; съотношението между използваните ресурси и постигнатия резултат е възможно най-доброто; поставените цели са постигнати. </w:t>
      </w:r>
      <w:proofErr w:type="spellStart"/>
      <w:r w:rsidR="00B50E4C">
        <w:t>О</w:t>
      </w:r>
      <w:r w:rsidRPr="00985E27">
        <w:t>диторът</w:t>
      </w:r>
      <w:proofErr w:type="spellEnd"/>
      <w:r w:rsidRPr="00985E27">
        <w:t xml:space="preserve"> следва да оцени системата </w:t>
      </w:r>
      <w:r w:rsidRPr="0023598E">
        <w:t>за вътрешен контрол на б</w:t>
      </w:r>
      <w:r w:rsidRPr="0023598E">
        <w:rPr>
          <w:bCs/>
          <w:color w:val="000000"/>
        </w:rPr>
        <w:t xml:space="preserve">енефициентите (партньори по проекта) </w:t>
      </w:r>
      <w:r w:rsidRPr="0023598E">
        <w:t>в контекста на изпълняваните одиторски процедури.</w:t>
      </w:r>
    </w:p>
    <w:p w:rsidR="00745F4D" w:rsidRPr="00985E27" w:rsidRDefault="00745F4D" w:rsidP="00B95625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23598E">
        <w:t>Дали проектът е реализиран с необходимите ресурси: одиторът следва да се увери, че при изпълнение на дейностите по проекта б</w:t>
      </w:r>
      <w:r w:rsidRPr="0023598E">
        <w:rPr>
          <w:bCs/>
          <w:color w:val="000000"/>
        </w:rPr>
        <w:t>енефициентите (партньори по проекта)</w:t>
      </w:r>
      <w:r w:rsidRPr="0023598E">
        <w:t xml:space="preserve"> са разполагали с административните, финансовите, техническите и физическите ресурси, необходими за изпълнението на проекта. В случай, че б</w:t>
      </w:r>
      <w:r w:rsidRPr="0023598E">
        <w:rPr>
          <w:bCs/>
          <w:color w:val="000000"/>
        </w:rPr>
        <w:t>енефициентите (партньори</w:t>
      </w:r>
      <w:r w:rsidRPr="00B95625">
        <w:rPr>
          <w:bCs/>
          <w:color w:val="000000"/>
        </w:rPr>
        <w:t xml:space="preserve"> по проекта)</w:t>
      </w:r>
      <w:r w:rsidRPr="00985E27">
        <w:t xml:space="preserve"> са избрали изпълнители за извършване на част и/или всички дейности от проекта, то одиторът следва да се увери, че изпълнителите са разполагали с ресурса да изпълнят поставените им задачи.</w:t>
      </w:r>
    </w:p>
    <w:p w:rsidR="00745F4D" w:rsidRPr="00985E27" w:rsidRDefault="00745F4D" w:rsidP="00B95625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>Дали декларирани</w:t>
      </w:r>
      <w:r w:rsidR="00606A4D">
        <w:t>те</w:t>
      </w:r>
      <w:r w:rsidRPr="00985E27">
        <w:t xml:space="preserve"> разходи са действително извършени и допустими, в съответствие с изискванията на европейското и националното законодателство относно допустимост на разходите по </w:t>
      </w:r>
      <w:r w:rsidR="00B95625">
        <w:t>оперативната програма</w:t>
      </w:r>
      <w:r w:rsidRPr="00985E27">
        <w:t>.</w:t>
      </w:r>
    </w:p>
    <w:p w:rsidR="00745F4D" w:rsidRPr="00985E27" w:rsidRDefault="00745F4D" w:rsidP="00B95625">
      <w:pPr>
        <w:pStyle w:val="ListParagraph"/>
        <w:numPr>
          <w:ilvl w:val="0"/>
          <w:numId w:val="35"/>
        </w:numPr>
        <w:tabs>
          <w:tab w:val="left" w:pos="993"/>
          <w:tab w:val="left" w:pos="1276"/>
          <w:tab w:val="left" w:pos="1560"/>
        </w:tabs>
        <w:ind w:right="138"/>
        <w:jc w:val="both"/>
      </w:pPr>
      <w:r w:rsidRPr="00985E27">
        <w:t xml:space="preserve">Дали първичните счетоводни документи и документите с еквивалентна доказателствена стойност са налични и валидни: одиторът следва да </w:t>
      </w:r>
      <w:r w:rsidR="003D71C8">
        <w:t>провери дали</w:t>
      </w:r>
      <w:r w:rsidRPr="00985E27">
        <w:t xml:space="preserve"> всички документи, на база на които са извършени разходи са налични в оригинал, съдържат всички необходими реквизити и действително се отнасят за разхода, който следва да оправдават.</w:t>
      </w:r>
    </w:p>
    <w:p w:rsidR="00745F4D" w:rsidRPr="00985E27" w:rsidRDefault="00745F4D" w:rsidP="00B95625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 xml:space="preserve">Дали са спазени изискванията по отношение на поддържането на адекватна одитна пътека: одиторът следва да направи проверка </w:t>
      </w:r>
      <w:r w:rsidRPr="00606A4D">
        <w:t>дали б</w:t>
      </w:r>
      <w:r w:rsidRPr="00606A4D">
        <w:rPr>
          <w:bCs/>
          <w:color w:val="000000"/>
        </w:rPr>
        <w:t>енефициентите (партньори по проекта)</w:t>
      </w:r>
      <w:r w:rsidRPr="00606A4D">
        <w:t xml:space="preserve"> са разполагали с необходимите системи и организация за поддържане на адекватна</w:t>
      </w:r>
      <w:r w:rsidRPr="00985E27">
        <w:t xml:space="preserve"> одиторска следа. За адекватна се счита одиторска следа, която дава възможност за проследяване на всеки разход, през детайлния счетоводен запис до първичния документ, пораждащ основание за съответния счетоводен запис, както и до съпътстващите го документи, в контекста на които са извършени разходите (одобрение на помощта и финансирането; документация, свързана с обществените поръчки; доклади за напредъка; доклади от верификации; доклади от проведени одити и пр.). </w:t>
      </w:r>
    </w:p>
    <w:p w:rsidR="00745F4D" w:rsidRDefault="00745F4D" w:rsidP="00B95625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>Дали изборът на изпълнители, чрез които се осъществява</w:t>
      </w:r>
      <w:r w:rsidR="00B95625">
        <w:t xml:space="preserve"> проекта</w:t>
      </w:r>
      <w:r w:rsidRPr="00985E27">
        <w:t xml:space="preserve">, е проведен в съответствие с изискванията на </w:t>
      </w:r>
      <w:r w:rsidR="00B95625">
        <w:t xml:space="preserve">приложимото </w:t>
      </w:r>
      <w:r w:rsidRPr="00985E27">
        <w:t>национално законодателство.</w:t>
      </w:r>
    </w:p>
    <w:p w:rsidR="0052333C" w:rsidRPr="0052333C" w:rsidRDefault="00515539" w:rsidP="00D4246D">
      <w:pPr>
        <w:autoSpaceDE w:val="0"/>
        <w:autoSpaceDN w:val="0"/>
        <w:adjustRightInd w:val="0"/>
        <w:ind w:left="708"/>
        <w:jc w:val="both"/>
        <w:rPr>
          <w:color w:val="000000"/>
        </w:rPr>
      </w:pPr>
      <w:proofErr w:type="gramStart"/>
      <w:r w:rsidRPr="00D4246D">
        <w:rPr>
          <w:color w:val="000000"/>
          <w:lang w:val="en-US"/>
        </w:rPr>
        <w:lastRenderedPageBreak/>
        <w:t xml:space="preserve">В </w:t>
      </w:r>
      <w:proofErr w:type="spellStart"/>
      <w:r w:rsidRPr="00D4246D">
        <w:rPr>
          <w:color w:val="000000"/>
          <w:lang w:val="en-US"/>
        </w:rPr>
        <w:t>обхвата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проверката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одиторът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задължително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извършва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проверка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съответствие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относно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законосъобразност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процедурите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възлагане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обществени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поръчки</w:t>
      </w:r>
      <w:proofErr w:type="spellEnd"/>
      <w:r w:rsidR="0052333C">
        <w:rPr>
          <w:color w:val="000000"/>
        </w:rPr>
        <w:t>/събиране на оферти с обява</w:t>
      </w:r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подписаните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договори</w:t>
      </w:r>
      <w:proofErr w:type="spellEnd"/>
      <w:r w:rsidRPr="00D4246D">
        <w:rPr>
          <w:color w:val="000000"/>
          <w:lang w:val="en-US"/>
        </w:rPr>
        <w:t xml:space="preserve"> и </w:t>
      </w:r>
      <w:proofErr w:type="spellStart"/>
      <w:r w:rsidRPr="00D4246D">
        <w:rPr>
          <w:color w:val="000000"/>
          <w:lang w:val="en-US"/>
        </w:rPr>
        <w:t>анексите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към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тях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ако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има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такива</w:t>
      </w:r>
      <w:proofErr w:type="spellEnd"/>
      <w:r w:rsidRPr="00D4246D">
        <w:rPr>
          <w:color w:val="000000"/>
          <w:lang w:val="en-US"/>
        </w:rPr>
        <w:t>.</w:t>
      </w:r>
      <w:proofErr w:type="gramEnd"/>
      <w:r w:rsidRPr="00D4246D">
        <w:rPr>
          <w:color w:val="000000"/>
          <w:lang w:val="en-US"/>
        </w:rPr>
        <w:t xml:space="preserve"> </w:t>
      </w:r>
      <w:proofErr w:type="spellStart"/>
      <w:proofErr w:type="gramStart"/>
      <w:r w:rsidRPr="00D4246D">
        <w:rPr>
          <w:color w:val="000000"/>
          <w:lang w:val="en-US"/>
        </w:rPr>
        <w:t>Този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последващ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контрол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осъществява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спазването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приложимите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нормативни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актове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отношение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bCs/>
          <w:color w:val="000000"/>
          <w:lang w:val="en-US"/>
        </w:rPr>
        <w:t>всички</w:t>
      </w:r>
      <w:proofErr w:type="spellEnd"/>
      <w:r w:rsidRPr="00D4246D">
        <w:rPr>
          <w:bCs/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процедури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свързани</w:t>
      </w:r>
      <w:proofErr w:type="spellEnd"/>
      <w:r w:rsidRPr="00D4246D">
        <w:rPr>
          <w:color w:val="000000"/>
          <w:lang w:val="en-US"/>
        </w:rPr>
        <w:t xml:space="preserve"> с </w:t>
      </w:r>
      <w:proofErr w:type="spellStart"/>
      <w:r w:rsidRPr="00D4246D">
        <w:rPr>
          <w:color w:val="000000"/>
          <w:lang w:val="en-US"/>
        </w:rPr>
        <w:t>възлагането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bCs/>
          <w:color w:val="000000"/>
          <w:lang w:val="en-US"/>
        </w:rPr>
        <w:t>всички</w:t>
      </w:r>
      <w:proofErr w:type="spellEnd"/>
      <w:r w:rsidRPr="00D4246D">
        <w:rPr>
          <w:bCs/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видове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дейности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проекта</w:t>
      </w:r>
      <w:proofErr w:type="spellEnd"/>
      <w:r w:rsidRPr="00D4246D">
        <w:rPr>
          <w:color w:val="000000"/>
          <w:lang w:val="en-US"/>
        </w:rPr>
        <w:t>.</w:t>
      </w:r>
      <w:proofErr w:type="gram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Като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минимум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одиторът</w:t>
      </w:r>
      <w:proofErr w:type="spellEnd"/>
      <w:r w:rsidRPr="00D4246D">
        <w:rPr>
          <w:color w:val="000000"/>
          <w:lang w:val="en-US"/>
        </w:rPr>
        <w:t xml:space="preserve"> е </w:t>
      </w:r>
      <w:proofErr w:type="spellStart"/>
      <w:r w:rsidRPr="00D4246D">
        <w:rPr>
          <w:color w:val="000000"/>
          <w:lang w:val="en-US"/>
        </w:rPr>
        <w:t>задължен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извърши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оценка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съответствие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относно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законосъобразността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вземайки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предвид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приложимото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законодателство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предмета</w:t>
      </w:r>
      <w:proofErr w:type="spellEnd"/>
      <w:r w:rsidRPr="00D4246D">
        <w:rPr>
          <w:color w:val="000000"/>
          <w:lang w:val="en-US"/>
        </w:rPr>
        <w:t xml:space="preserve"> и </w:t>
      </w:r>
      <w:proofErr w:type="spellStart"/>
      <w:r w:rsidRPr="00D4246D">
        <w:rPr>
          <w:color w:val="000000"/>
          <w:lang w:val="en-US"/>
        </w:rPr>
        <w:t>характера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дейностите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включени</w:t>
      </w:r>
      <w:proofErr w:type="spellEnd"/>
      <w:r w:rsidRPr="00D4246D">
        <w:rPr>
          <w:color w:val="000000"/>
          <w:lang w:val="en-US"/>
        </w:rPr>
        <w:t xml:space="preserve"> в </w:t>
      </w:r>
      <w:proofErr w:type="spellStart"/>
      <w:r w:rsidRPr="00D4246D">
        <w:rPr>
          <w:color w:val="000000"/>
          <w:lang w:val="en-US"/>
        </w:rPr>
        <w:t>одобрения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проект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както</w:t>
      </w:r>
      <w:proofErr w:type="spellEnd"/>
      <w:r w:rsidRPr="00D4246D">
        <w:rPr>
          <w:color w:val="000000"/>
          <w:lang w:val="en-US"/>
        </w:rPr>
        <w:t xml:space="preserve"> и </w:t>
      </w:r>
      <w:proofErr w:type="spellStart"/>
      <w:r w:rsidRPr="00D4246D">
        <w:rPr>
          <w:color w:val="000000"/>
          <w:lang w:val="en-US"/>
        </w:rPr>
        <w:t>всички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документи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r w:rsidR="006F0926" w:rsidRPr="0052333C">
        <w:rPr>
          <w:color w:val="000000"/>
        </w:rPr>
        <w:t>Оперативна програма „</w:t>
      </w:r>
      <w:r w:rsidR="006F0926" w:rsidRPr="008542B2">
        <w:rPr>
          <w:color w:val="000000"/>
        </w:rPr>
        <w:t>Наука и образование за интелигентен растеж“ 2014-2020</w:t>
      </w:r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като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указания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наръчници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насоки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ръководства</w:t>
      </w:r>
      <w:proofErr w:type="spellEnd"/>
      <w:r w:rsidRPr="00D4246D">
        <w:rPr>
          <w:color w:val="000000"/>
          <w:lang w:val="en-US"/>
        </w:rPr>
        <w:t xml:space="preserve">, </w:t>
      </w:r>
      <w:proofErr w:type="spellStart"/>
      <w:r w:rsidRPr="00D4246D">
        <w:rPr>
          <w:color w:val="000000"/>
          <w:lang w:val="en-US"/>
        </w:rPr>
        <w:t>вътрешни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правила</w:t>
      </w:r>
      <w:proofErr w:type="spellEnd"/>
      <w:r w:rsidRPr="00D4246D">
        <w:rPr>
          <w:color w:val="000000"/>
          <w:lang w:val="en-US"/>
        </w:rPr>
        <w:t xml:space="preserve"> и </w:t>
      </w:r>
      <w:proofErr w:type="spellStart"/>
      <w:r w:rsidRPr="00D4246D">
        <w:rPr>
          <w:color w:val="000000"/>
          <w:lang w:val="en-US"/>
        </w:rPr>
        <w:t>др</w:t>
      </w:r>
      <w:proofErr w:type="spellEnd"/>
      <w:r w:rsidRPr="00D4246D">
        <w:rPr>
          <w:color w:val="000000"/>
          <w:lang w:val="en-US"/>
        </w:rPr>
        <w:t xml:space="preserve">. </w:t>
      </w:r>
    </w:p>
    <w:p w:rsidR="00515539" w:rsidRPr="00D4246D" w:rsidRDefault="0052333C" w:rsidP="00D4246D">
      <w:pPr>
        <w:autoSpaceDE w:val="0"/>
        <w:autoSpaceDN w:val="0"/>
        <w:adjustRightInd w:val="0"/>
        <w:ind w:left="708"/>
        <w:jc w:val="both"/>
      </w:pPr>
      <w:r w:rsidRPr="00D4246D">
        <w:t>При проверката за съответствие относно законосъобразността на проведените процедури/събиране на оферти с обява одиторът задължително извършва проверка и формира констатации по отношение на следните основни рискови области: неспазване на правилата за публичност; използване на дискриминационни критерии за подбор и възлагане; неправомерно прилагане на критерии за подбор и нарушаване на принципа за равно третиране; използване на критерии за подбор като показатели за оценка; неясна и неточна методика за оценка; неточно прилагане на методиката за оценка; неоснователно изменение на договор за обществна поръчка.</w:t>
      </w:r>
    </w:p>
    <w:p w:rsidR="00515539" w:rsidRPr="006F0926" w:rsidRDefault="00515539" w:rsidP="00D4246D">
      <w:pPr>
        <w:pStyle w:val="ListParagraph"/>
        <w:tabs>
          <w:tab w:val="left" w:pos="993"/>
        </w:tabs>
        <w:ind w:right="138"/>
        <w:jc w:val="both"/>
      </w:pPr>
      <w:proofErr w:type="gramStart"/>
      <w:r w:rsidRPr="00D4246D">
        <w:rPr>
          <w:color w:val="000000"/>
          <w:lang w:val="en-US"/>
        </w:rPr>
        <w:t xml:space="preserve">В </w:t>
      </w:r>
      <w:proofErr w:type="spellStart"/>
      <w:r w:rsidRPr="00D4246D">
        <w:rPr>
          <w:color w:val="000000"/>
          <w:lang w:val="en-US"/>
        </w:rPr>
        <w:t>обхвата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проверката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ангажимента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договорени</w:t>
      </w:r>
      <w:proofErr w:type="spellEnd"/>
      <w:r w:rsidRPr="00D4246D">
        <w:rPr>
          <w:color w:val="000000"/>
          <w:sz w:val="28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процедури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следва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бъдат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включвани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проверката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законосъобразност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процедурата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избор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одитор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проекта</w:t>
      </w:r>
      <w:proofErr w:type="spellEnd"/>
      <w:r w:rsidRPr="00D4246D">
        <w:rPr>
          <w:color w:val="000000"/>
          <w:lang w:val="en-US"/>
        </w:rPr>
        <w:t xml:space="preserve"> и </w:t>
      </w:r>
      <w:proofErr w:type="spellStart"/>
      <w:r w:rsidRPr="00D4246D">
        <w:rPr>
          <w:color w:val="000000"/>
          <w:lang w:val="en-US"/>
        </w:rPr>
        <w:t>разходите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за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възнаграждение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на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одитора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по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сключения</w:t>
      </w:r>
      <w:proofErr w:type="spellEnd"/>
      <w:r w:rsidRPr="00D4246D">
        <w:rPr>
          <w:color w:val="000000"/>
          <w:lang w:val="en-US"/>
        </w:rPr>
        <w:t xml:space="preserve"> </w:t>
      </w:r>
      <w:proofErr w:type="spellStart"/>
      <w:r w:rsidRPr="00D4246D">
        <w:rPr>
          <w:color w:val="000000"/>
          <w:lang w:val="en-US"/>
        </w:rPr>
        <w:t>договор</w:t>
      </w:r>
      <w:proofErr w:type="spellEnd"/>
      <w:r w:rsidRPr="00D4246D">
        <w:rPr>
          <w:color w:val="000000"/>
          <w:lang w:val="en-US"/>
        </w:rPr>
        <w:t>.</w:t>
      </w:r>
      <w:proofErr w:type="gramEnd"/>
    </w:p>
    <w:p w:rsidR="00745F4D" w:rsidRPr="00985E27" w:rsidRDefault="00745F4D" w:rsidP="006F0926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6F0926">
        <w:t>Дали всички дейности по проект</w:t>
      </w:r>
      <w:r w:rsidR="00B95625" w:rsidRPr="006F0926">
        <w:t>а</w:t>
      </w:r>
      <w:r w:rsidRPr="006F0926">
        <w:t xml:space="preserve"> са надлежно документирани</w:t>
      </w:r>
      <w:r w:rsidR="00C610BD" w:rsidRPr="006F0926">
        <w:t>,</w:t>
      </w:r>
      <w:r w:rsidRPr="006F0926">
        <w:t xml:space="preserve"> като всички документи за разходите се съхраняват и са на разположение на</w:t>
      </w:r>
      <w:r w:rsidRPr="00985E27">
        <w:t xml:space="preserve"> националните и европейските контролни органи при поискване: одиторът следва да проследи всяка от дейностите по проекта, за да се увери, че те са надлежно документирани и че документите се съхраняват в съответствие с приложимите изисквания. При необходимост, одиторът следва да провери помещенията, в които се съхраняват документите, за да се увери, че съхранението на документацията е обезпечено от гледна точка на външно влияние и неправомерен достъп.</w:t>
      </w:r>
    </w:p>
    <w:p w:rsidR="00745F4D" w:rsidRPr="00985E27" w:rsidRDefault="00745F4D" w:rsidP="00B95625">
      <w:pPr>
        <w:pStyle w:val="ListParagraph"/>
        <w:numPr>
          <w:ilvl w:val="0"/>
          <w:numId w:val="35"/>
        </w:numPr>
        <w:tabs>
          <w:tab w:val="left" w:pos="993"/>
          <w:tab w:val="left" w:pos="1276"/>
        </w:tabs>
        <w:ind w:right="138"/>
        <w:jc w:val="both"/>
      </w:pPr>
      <w:r w:rsidRPr="00985E27">
        <w:t>Проверка на докладваните нередности: одиторът следва да се увери, че ако по проекта са установени нередности, то те са докладвани своевременно на всички необходими институции, след което е съставен съответният план за действие във връзка с избягване на подобни нередности в бъдеще и този план се изпълнява своевременно</w:t>
      </w:r>
      <w:r w:rsidRPr="00CB3FD1">
        <w:t>. Одиторът трябва да провери (без значение дали нередности са докладвани или не) дали при б</w:t>
      </w:r>
      <w:r w:rsidRPr="00CB3FD1">
        <w:rPr>
          <w:bCs/>
          <w:color w:val="000000"/>
        </w:rPr>
        <w:t>енефициентите (партньори по проекта)</w:t>
      </w:r>
      <w:r w:rsidRPr="00CB3FD1">
        <w:t xml:space="preserve"> е изградена подходяща система, която да осигурява навременно откриване и докладване на нередностите и която да позволява </w:t>
      </w:r>
      <w:r w:rsidR="00B95625" w:rsidRPr="00CB3FD1">
        <w:t>на същите</w:t>
      </w:r>
      <w:r w:rsidRPr="00B95625">
        <w:rPr>
          <w:bCs/>
          <w:color w:val="000000"/>
        </w:rPr>
        <w:t xml:space="preserve"> </w:t>
      </w:r>
      <w:r w:rsidRPr="00985E27">
        <w:t>да реагират на тях по подходящ начин.</w:t>
      </w:r>
    </w:p>
    <w:p w:rsidR="00745F4D" w:rsidRPr="00985E27" w:rsidRDefault="00745F4D" w:rsidP="0098746D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 xml:space="preserve">Исканията за средства, подадени </w:t>
      </w:r>
      <w:r w:rsidRPr="00CB3FD1">
        <w:t xml:space="preserve">от </w:t>
      </w:r>
      <w:r w:rsidR="0098746D" w:rsidRPr="00CB3FD1">
        <w:t>водещата организация,</w:t>
      </w:r>
      <w:r w:rsidRPr="00985E27">
        <w:t xml:space="preserve"> са точни, пълни и са във формат, изискван от У</w:t>
      </w:r>
      <w:r w:rsidR="0098746D">
        <w:t>правляващият орган</w:t>
      </w:r>
      <w:r w:rsidRPr="00985E27">
        <w:t xml:space="preserve"> на </w:t>
      </w:r>
      <w:r w:rsidRPr="0098746D">
        <w:rPr>
          <w:shd w:val="clear" w:color="auto" w:fill="FFFFFF"/>
        </w:rPr>
        <w:t>Оперативна програма „Наука и образование за интелигентен растеж“ 2014-2020</w:t>
      </w:r>
      <w:r w:rsidRPr="00985E27">
        <w:t xml:space="preserve">: одиторът следва да провери дали сумите, които </w:t>
      </w:r>
      <w:r w:rsidRPr="00CB3FD1">
        <w:t>б</w:t>
      </w:r>
      <w:r w:rsidRPr="00CB3FD1">
        <w:rPr>
          <w:bCs/>
          <w:color w:val="000000"/>
        </w:rPr>
        <w:t>енефициентите (партньори по проекта)</w:t>
      </w:r>
      <w:r w:rsidRPr="00CB3FD1">
        <w:t xml:space="preserve"> са посочили за възстановяване в съответното искане за средства, отразяват коректно направените</w:t>
      </w:r>
      <w:r w:rsidRPr="00985E27">
        <w:t xml:space="preserve"> разходи към съответния период. Трябва да се провери дали искането за средства отговаря на актуалния към момента на подаването му образец, както и дали представената информацията е достоверна. Допълнително одиторът трябва да се увери, че сумите по искането за средства са в размер, допустим за плащане и отговарят на условията по конкретния договор за предоставяне на безвъзмездна финансова помощ, както и че съотношението между националното и европейското съфинансиране е точно и съответните закръгления са коректно направени.</w:t>
      </w:r>
    </w:p>
    <w:p w:rsidR="00745F4D" w:rsidRPr="00985E27" w:rsidRDefault="00745F4D" w:rsidP="0098746D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lastRenderedPageBreak/>
        <w:t>Неправомерно изплатените суми са възстановени по надлежния ред: одиторът следва да провери дали неправомерно изплатените суми, ако има такива, са възстановени по надлежния ред и дали са осчетоводени коректно.</w:t>
      </w:r>
    </w:p>
    <w:p w:rsidR="00745F4D" w:rsidRDefault="00745F4D" w:rsidP="0098746D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 xml:space="preserve">Счетоводни системи и осчетоводявания: одиторът трябва да провери </w:t>
      </w:r>
      <w:r w:rsidRPr="003D5029">
        <w:t>дали б</w:t>
      </w:r>
      <w:r w:rsidRPr="003D5029">
        <w:rPr>
          <w:bCs/>
          <w:color w:val="000000"/>
        </w:rPr>
        <w:t>енефициентите (партньори по проекта)</w:t>
      </w:r>
      <w:r w:rsidRPr="00985E27">
        <w:t xml:space="preserve"> поддържат отделни счетоводни системи за отчитане на дейностите по проекта. Следва да бъде проверено дали всички транзакции, свързани с операцията са осчетоводени по подходящ начин и в съответствие с приложимите правила. Одиторът следва да се увери, че счетоводните системи са в компютъризирана форма и отговарят на изискванията за сигурност и надеждност.</w:t>
      </w:r>
    </w:p>
    <w:p w:rsidR="00A42C5F" w:rsidRDefault="00A42C5F" w:rsidP="00A42C5F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>
        <w:t>Одиторът извършва аритметична проверка (преизчисление) за съответствие и равенство на разходите, включени в Искането за плащане.</w:t>
      </w:r>
    </w:p>
    <w:p w:rsidR="00A42C5F" w:rsidRPr="00985E27" w:rsidRDefault="00A42C5F" w:rsidP="00A42C5F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>
        <w:t>Дали бенефициентът поддържа специално обособена аналитичност в счетоводната си система за изпълнявания проект.</w:t>
      </w:r>
    </w:p>
    <w:p w:rsidR="00745F4D" w:rsidRPr="00985E27" w:rsidRDefault="00745F4D" w:rsidP="00F86DC4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 xml:space="preserve">Проверка за двойно финансиране: одиторът трябва да се увери, че </w:t>
      </w:r>
      <w:r w:rsidRPr="003D5029">
        <w:t>б</w:t>
      </w:r>
      <w:r w:rsidRPr="003D5029">
        <w:rPr>
          <w:bCs/>
          <w:color w:val="000000"/>
        </w:rPr>
        <w:t>енефициентите (партньори по проекта)</w:t>
      </w:r>
      <w:r w:rsidRPr="00985E27">
        <w:t xml:space="preserve"> не получават финансиране за същата операция от друга програма или схема.</w:t>
      </w:r>
    </w:p>
    <w:p w:rsidR="00745F4D" w:rsidRPr="00985E27" w:rsidRDefault="00745F4D" w:rsidP="00F86DC4">
      <w:pPr>
        <w:pStyle w:val="ListParagraph"/>
        <w:numPr>
          <w:ilvl w:val="0"/>
          <w:numId w:val="35"/>
        </w:numPr>
        <w:tabs>
          <w:tab w:val="left" w:pos="993"/>
        </w:tabs>
        <w:ind w:right="138"/>
        <w:jc w:val="both"/>
      </w:pPr>
      <w:r w:rsidRPr="00985E27">
        <w:t xml:space="preserve">Проверка за спазване на законодателството в областта на държавните помощи: одиторът трябва да се увери, че с получаването на безвъзмездната финансова помощ </w:t>
      </w:r>
      <w:r w:rsidR="00F86DC4">
        <w:t>не се</w:t>
      </w:r>
      <w:r w:rsidRPr="00985E27">
        <w:t xml:space="preserve"> нарушават разпоредбите на Закона за държавните помощи и друга приложима нормативна база.</w:t>
      </w:r>
    </w:p>
    <w:p w:rsidR="00745F4D" w:rsidRPr="00985E27" w:rsidRDefault="00745F4D" w:rsidP="00F86DC4">
      <w:pPr>
        <w:pStyle w:val="ListParagraph"/>
        <w:numPr>
          <w:ilvl w:val="0"/>
          <w:numId w:val="35"/>
        </w:numPr>
        <w:tabs>
          <w:tab w:val="left" w:pos="709"/>
          <w:tab w:val="left" w:pos="993"/>
        </w:tabs>
        <w:jc w:val="both"/>
      </w:pPr>
      <w:r w:rsidRPr="00985E27">
        <w:t>Правила за информация, комуникация и публичност: одиторът следва да се увери, че правилата за информация, комуникация и публичност са спазени за всички дейности по проекта и са в съответствие с изискванията на У</w:t>
      </w:r>
      <w:r w:rsidR="00F86DC4">
        <w:t xml:space="preserve">правляващият орган </w:t>
      </w:r>
      <w:r w:rsidRPr="00985E27">
        <w:t xml:space="preserve">на </w:t>
      </w:r>
      <w:r w:rsidRPr="00F86DC4">
        <w:rPr>
          <w:shd w:val="clear" w:color="auto" w:fill="FFFFFF"/>
        </w:rPr>
        <w:t>Оперативна програма „Наука и образование за интелигентен растеж“ 2014-2020</w:t>
      </w:r>
      <w:r w:rsidRPr="00985E27">
        <w:t xml:space="preserve">. </w:t>
      </w:r>
    </w:p>
    <w:p w:rsidR="00745F4D" w:rsidRPr="00985E27" w:rsidRDefault="00745F4D" w:rsidP="00745F4D">
      <w:pPr>
        <w:tabs>
          <w:tab w:val="left" w:pos="709"/>
          <w:tab w:val="left" w:pos="993"/>
        </w:tabs>
        <w:jc w:val="both"/>
      </w:pPr>
    </w:p>
    <w:p w:rsidR="00F47BB6" w:rsidRPr="00F47BB6" w:rsidRDefault="00745F4D" w:rsidP="00745F4D">
      <w:pPr>
        <w:numPr>
          <w:ilvl w:val="0"/>
          <w:numId w:val="23"/>
        </w:numPr>
        <w:tabs>
          <w:tab w:val="left" w:pos="1134"/>
        </w:tabs>
        <w:ind w:right="138"/>
        <w:contextualSpacing/>
        <w:jc w:val="both"/>
      </w:pPr>
      <w:r w:rsidRPr="00F47BB6">
        <w:rPr>
          <w:b/>
        </w:rPr>
        <w:t>Задачи и основни дейности</w:t>
      </w:r>
      <w:r w:rsidR="008711A4">
        <w:rPr>
          <w:b/>
        </w:rPr>
        <w:t xml:space="preserve"> на изпълнителя</w:t>
      </w:r>
    </w:p>
    <w:p w:rsidR="00F47BB6" w:rsidRDefault="00F47BB6" w:rsidP="00F47BB6">
      <w:pPr>
        <w:tabs>
          <w:tab w:val="left" w:pos="1134"/>
        </w:tabs>
        <w:ind w:right="138"/>
        <w:contextualSpacing/>
        <w:jc w:val="both"/>
      </w:pPr>
    </w:p>
    <w:p w:rsidR="00F47BB6" w:rsidRDefault="00F47BB6" w:rsidP="00F47BB6">
      <w:pPr>
        <w:tabs>
          <w:tab w:val="left" w:pos="1134"/>
        </w:tabs>
        <w:ind w:right="138"/>
        <w:contextualSpacing/>
        <w:jc w:val="both"/>
      </w:pPr>
      <w:r w:rsidRPr="00F47BB6">
        <w:t xml:space="preserve">При </w:t>
      </w:r>
      <w:r w:rsidR="00356EC7">
        <w:t>изпълнение на ангажимента за извършване на договорени процедури</w:t>
      </w:r>
      <w:r w:rsidRPr="00F47BB6">
        <w:t xml:space="preserve"> изпълнителят</w:t>
      </w:r>
      <w:r w:rsidR="00745F4D" w:rsidRPr="00985E27">
        <w:t xml:space="preserve"> следва да</w:t>
      </w:r>
      <w:r>
        <w:t>:</w:t>
      </w:r>
    </w:p>
    <w:p w:rsidR="00745F4D" w:rsidRPr="00F47BB6" w:rsidRDefault="00745F4D" w:rsidP="00F47BB6">
      <w:pPr>
        <w:pStyle w:val="ListParagraph"/>
        <w:numPr>
          <w:ilvl w:val="0"/>
          <w:numId w:val="38"/>
        </w:numPr>
        <w:tabs>
          <w:tab w:val="left" w:pos="1134"/>
        </w:tabs>
        <w:ind w:right="138"/>
        <w:jc w:val="both"/>
      </w:pPr>
      <w:r w:rsidRPr="003D5029">
        <w:t xml:space="preserve">осъществи </w:t>
      </w:r>
      <w:r w:rsidR="00356EC7">
        <w:t>проверка</w:t>
      </w:r>
      <w:r w:rsidRPr="003D5029">
        <w:t xml:space="preserve"> на средствата</w:t>
      </w:r>
      <w:r w:rsidRPr="00F47BB6">
        <w:t xml:space="preserve"> по проекта, изготвяйки необходимите </w:t>
      </w:r>
      <w:r w:rsidR="00356EC7">
        <w:t>доклади за фактически констатации</w:t>
      </w:r>
      <w:r w:rsidRPr="00F47BB6">
        <w:t>;</w:t>
      </w:r>
    </w:p>
    <w:p w:rsidR="00745F4D" w:rsidRPr="00F47BB6" w:rsidRDefault="00F47BB6" w:rsidP="00F47BB6">
      <w:pPr>
        <w:pStyle w:val="ListParagraph"/>
        <w:numPr>
          <w:ilvl w:val="0"/>
          <w:numId w:val="38"/>
        </w:numPr>
        <w:ind w:right="138"/>
        <w:jc w:val="both"/>
      </w:pPr>
      <w:r w:rsidRPr="00F47BB6">
        <w:t>осъще</w:t>
      </w:r>
      <w:r w:rsidR="00745F4D" w:rsidRPr="00F47BB6">
        <w:t>ствява действията по събиране и анализиране на информация за оценка на управлението на финансовите средства и на отчетността на одитирания проект, с цел подобряването му;</w:t>
      </w:r>
    </w:p>
    <w:p w:rsidR="00745F4D" w:rsidRPr="00F47BB6" w:rsidRDefault="00F47BB6" w:rsidP="00F47BB6">
      <w:pPr>
        <w:pStyle w:val="ListParagraph"/>
        <w:numPr>
          <w:ilvl w:val="0"/>
          <w:numId w:val="38"/>
        </w:numPr>
        <w:ind w:right="138"/>
        <w:jc w:val="both"/>
      </w:pPr>
      <w:r w:rsidRPr="00F47BB6">
        <w:t>извършва</w:t>
      </w:r>
      <w:r w:rsidR="00745F4D" w:rsidRPr="00F47BB6">
        <w:t xml:space="preserve"> оценка </w:t>
      </w:r>
      <w:r w:rsidR="00E14B8E">
        <w:t>за законосъобразност и допустимост на разходите по проекта</w:t>
      </w:r>
      <w:r w:rsidR="00745F4D" w:rsidRPr="00F47BB6">
        <w:t>;</w:t>
      </w:r>
    </w:p>
    <w:p w:rsidR="00745F4D" w:rsidRPr="00F47BB6" w:rsidRDefault="00745F4D" w:rsidP="00D4246D">
      <w:pPr>
        <w:pStyle w:val="ListParagraph"/>
        <w:ind w:right="138"/>
        <w:jc w:val="both"/>
      </w:pPr>
    </w:p>
    <w:p w:rsidR="00745F4D" w:rsidRPr="00F47BB6" w:rsidRDefault="002D328C" w:rsidP="00F47BB6">
      <w:pPr>
        <w:pStyle w:val="ListParagraph"/>
        <w:numPr>
          <w:ilvl w:val="0"/>
          <w:numId w:val="38"/>
        </w:numPr>
        <w:ind w:right="138"/>
        <w:jc w:val="both"/>
      </w:pPr>
      <w:r>
        <w:t>формулира</w:t>
      </w:r>
      <w:r w:rsidR="00417A10">
        <w:t xml:space="preserve"> констатации относно</w:t>
      </w:r>
      <w:r w:rsidR="00745F4D" w:rsidRPr="00F47BB6">
        <w:t xml:space="preserve"> ефективното функциониране на системата за управление и контрол на проекта; </w:t>
      </w:r>
    </w:p>
    <w:p w:rsidR="00745F4D" w:rsidRPr="00F47BB6" w:rsidRDefault="00F47BB6" w:rsidP="00F47BB6">
      <w:pPr>
        <w:pStyle w:val="ListParagraph"/>
        <w:numPr>
          <w:ilvl w:val="0"/>
          <w:numId w:val="38"/>
        </w:numPr>
        <w:ind w:right="138"/>
        <w:jc w:val="both"/>
      </w:pPr>
      <w:r w:rsidRPr="00F47BB6">
        <w:t>о</w:t>
      </w:r>
      <w:r w:rsidR="00745F4D" w:rsidRPr="00F47BB6">
        <w:t xml:space="preserve">съществява </w:t>
      </w:r>
      <w:r w:rsidR="008B674C">
        <w:t>ангажимента</w:t>
      </w:r>
      <w:r w:rsidR="00745F4D" w:rsidRPr="00F47BB6">
        <w:t xml:space="preserve"> за потвърждаване на декларираните разходи;</w:t>
      </w:r>
    </w:p>
    <w:p w:rsidR="00745F4D" w:rsidRPr="00F47BB6" w:rsidRDefault="00F47BB6" w:rsidP="00F47BB6">
      <w:pPr>
        <w:pStyle w:val="ListParagraph"/>
        <w:numPr>
          <w:ilvl w:val="0"/>
          <w:numId w:val="38"/>
        </w:numPr>
        <w:ind w:right="138"/>
        <w:jc w:val="both"/>
      </w:pPr>
      <w:r w:rsidRPr="00F47BB6">
        <w:t>и</w:t>
      </w:r>
      <w:r w:rsidR="00745F4D" w:rsidRPr="00F47BB6">
        <w:t xml:space="preserve">зготвя </w:t>
      </w:r>
      <w:r w:rsidR="008B674C">
        <w:t>доклади за фактически констатации</w:t>
      </w:r>
      <w:r w:rsidR="00745F4D" w:rsidRPr="00F47BB6">
        <w:t xml:space="preserve"> и ги представя на Екипа по управление на проекта и/или Възложителя за предп</w:t>
      </w:r>
      <w:r w:rsidRPr="00F47BB6">
        <w:t>риемане на последващи действия</w:t>
      </w:r>
      <w:r w:rsidR="00745F4D" w:rsidRPr="00F47BB6">
        <w:t>. В изготвените доклади следва да се съдържат констатации и евентуални пр</w:t>
      </w:r>
      <w:r w:rsidRPr="00F47BB6">
        <w:t>епоръки към Екипа за управление на проекта/</w:t>
      </w:r>
      <w:r w:rsidR="00745F4D" w:rsidRPr="00F47BB6">
        <w:t xml:space="preserve"> б</w:t>
      </w:r>
      <w:r w:rsidR="00745F4D" w:rsidRPr="00F47BB6">
        <w:rPr>
          <w:bCs/>
          <w:color w:val="000000"/>
        </w:rPr>
        <w:t>енефициентите (партньори по проекта)</w:t>
      </w:r>
      <w:r w:rsidRPr="00F47BB6">
        <w:t>;</w:t>
      </w:r>
    </w:p>
    <w:p w:rsidR="00745F4D" w:rsidRPr="00F47BB6" w:rsidRDefault="00F47BB6" w:rsidP="00F47BB6">
      <w:pPr>
        <w:pStyle w:val="ListParagraph"/>
        <w:numPr>
          <w:ilvl w:val="0"/>
          <w:numId w:val="38"/>
        </w:numPr>
        <w:ind w:right="138"/>
        <w:jc w:val="both"/>
      </w:pPr>
      <w:r w:rsidRPr="00F47BB6">
        <w:t>р</w:t>
      </w:r>
      <w:r w:rsidR="00745F4D" w:rsidRPr="00F47BB6">
        <w:t>азкрива и докладва при наличие на нередности при изпълнението на проекта</w:t>
      </w:r>
      <w:r w:rsidRPr="00F47BB6">
        <w:t>;</w:t>
      </w:r>
    </w:p>
    <w:p w:rsidR="00745F4D" w:rsidRDefault="00F47BB6" w:rsidP="00F47BB6">
      <w:pPr>
        <w:pStyle w:val="ListParagraph"/>
        <w:numPr>
          <w:ilvl w:val="0"/>
          <w:numId w:val="38"/>
        </w:numPr>
        <w:ind w:right="136"/>
        <w:jc w:val="both"/>
      </w:pPr>
      <w:r w:rsidRPr="00F47BB6">
        <w:t xml:space="preserve">спазва приложимите </w:t>
      </w:r>
      <w:r w:rsidR="00EC69CF">
        <w:t xml:space="preserve">международни одиторски </w:t>
      </w:r>
      <w:r w:rsidRPr="00F47BB6">
        <w:t>стандарти</w:t>
      </w:r>
      <w:r w:rsidR="00EC69CF">
        <w:t>,</w:t>
      </w:r>
      <w:r w:rsidRPr="00F47BB6">
        <w:t xml:space="preserve"> </w:t>
      </w:r>
      <w:r w:rsidR="00876EF2">
        <w:t xml:space="preserve"> в това число</w:t>
      </w:r>
      <w:r w:rsidR="00876EF2" w:rsidRPr="00876EF2">
        <w:t xml:space="preserve"> </w:t>
      </w:r>
      <w:r w:rsidR="00876EF2">
        <w:t>най-малко</w:t>
      </w:r>
      <w:r w:rsidR="00876EF2" w:rsidRPr="0015730D">
        <w:t>:</w:t>
      </w:r>
      <w:r w:rsidR="00876EF2">
        <w:t xml:space="preserve"> Международен стандарт за свързани по съдържание услуги 4400 </w:t>
      </w:r>
      <w:r w:rsidR="00876EF2">
        <w:rPr>
          <w:bCs/>
        </w:rPr>
        <w:t>“</w:t>
      </w:r>
      <w:r w:rsidR="00876EF2">
        <w:t>Ангажименти за извършване на договорени процедури относно финансова информация“</w:t>
      </w:r>
      <w:r w:rsidRPr="00F47BB6">
        <w:t xml:space="preserve">, </w:t>
      </w:r>
      <w:r w:rsidR="00745F4D" w:rsidRPr="00F47BB6">
        <w:t>, издаван от Международната федерация на счетоводителите</w:t>
      </w:r>
      <w:r w:rsidR="00A00AA1">
        <w:t xml:space="preserve"> или еквивалентни</w:t>
      </w:r>
      <w:r w:rsidR="00745F4D" w:rsidRPr="00F47BB6">
        <w:t>.</w:t>
      </w:r>
    </w:p>
    <w:p w:rsidR="0015730D" w:rsidRDefault="0015730D" w:rsidP="0015730D">
      <w:pPr>
        <w:ind w:right="136"/>
        <w:jc w:val="both"/>
      </w:pPr>
    </w:p>
    <w:p w:rsidR="008245C0" w:rsidRPr="008245C0" w:rsidRDefault="008245C0" w:rsidP="008245C0">
      <w:pPr>
        <w:pStyle w:val="ListParagraph"/>
        <w:widowControl w:val="0"/>
        <w:numPr>
          <w:ilvl w:val="0"/>
          <w:numId w:val="23"/>
        </w:numPr>
        <w:tabs>
          <w:tab w:val="left" w:pos="724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</w:rPr>
      </w:pPr>
      <w:bookmarkStart w:id="0" w:name="_Toc318448538"/>
      <w:r>
        <w:rPr>
          <w:b/>
          <w:bCs/>
        </w:rPr>
        <w:lastRenderedPageBreak/>
        <w:t xml:space="preserve">Други задължения на </w:t>
      </w:r>
      <w:bookmarkEnd w:id="0"/>
      <w:r>
        <w:rPr>
          <w:b/>
          <w:bCs/>
        </w:rPr>
        <w:t>изпълнителя</w:t>
      </w:r>
    </w:p>
    <w:p w:rsidR="008245C0" w:rsidRPr="00985E27" w:rsidRDefault="008245C0" w:rsidP="008245C0">
      <w:pPr>
        <w:widowControl w:val="0"/>
        <w:autoSpaceDE w:val="0"/>
        <w:autoSpaceDN w:val="0"/>
        <w:adjustRightInd w:val="0"/>
        <w:spacing w:before="120"/>
        <w:jc w:val="both"/>
      </w:pPr>
      <w:r w:rsidRPr="00985E27">
        <w:t xml:space="preserve">По време на </w:t>
      </w:r>
      <w:r>
        <w:t xml:space="preserve">изпълнение на </w:t>
      </w:r>
      <w:r w:rsidR="0030454A">
        <w:t>ангажимента за извършване на договорени процедури</w:t>
      </w:r>
      <w:r>
        <w:t xml:space="preserve"> и</w:t>
      </w:r>
      <w:r w:rsidRPr="00985E27">
        <w:t>зпълнителят е длъжен:</w:t>
      </w:r>
    </w:p>
    <w:p w:rsidR="008245C0" w:rsidRPr="00985E27" w:rsidRDefault="008245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985E27">
        <w:t>да спазва принципите: независимост, компетентност, конфиденциалност, почтеност и обективност;</w:t>
      </w:r>
    </w:p>
    <w:p w:rsidR="008245C0" w:rsidRPr="00985E27" w:rsidRDefault="00620D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да изпълни поетите </w:t>
      </w:r>
      <w:r w:rsidR="008245C0" w:rsidRPr="00985E27">
        <w:t>задължения, освен ако не са налице обективни обстоятелства, които го възпрепятстват;</w:t>
      </w:r>
    </w:p>
    <w:p w:rsidR="008245C0" w:rsidRPr="00985E27" w:rsidRDefault="00620D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да информира в</w:t>
      </w:r>
      <w:r w:rsidR="008245C0" w:rsidRPr="00985E27">
        <w:t xml:space="preserve">ъзложителя за съществени нарушения на законите и други нормативни актове, на негови учредителни и други вътрешни актове, норми и процедури, както и за всяка друга информация, доколкото са му станали известни в хода на изпълнение на </w:t>
      </w:r>
      <w:r w:rsidR="0030454A">
        <w:t>ангажимента</w:t>
      </w:r>
      <w:r w:rsidR="008245C0" w:rsidRPr="00985E27">
        <w:t>;</w:t>
      </w:r>
    </w:p>
    <w:p w:rsidR="008245C0" w:rsidRPr="00985E27" w:rsidRDefault="00620D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да предупреждава в</w:t>
      </w:r>
      <w:r w:rsidR="008245C0" w:rsidRPr="00985E27">
        <w:t xml:space="preserve">ъзложителя в областта на своите компетенции за действия или пропуски, които може да му навредят, доколкото са му станали известни в хода на изпълнение на </w:t>
      </w:r>
      <w:r w:rsidR="0030454A">
        <w:t>ангажимента</w:t>
      </w:r>
      <w:r w:rsidR="008245C0" w:rsidRPr="00985E27">
        <w:t>;</w:t>
      </w:r>
    </w:p>
    <w:p w:rsidR="008245C0" w:rsidRPr="00985E27" w:rsidRDefault="00620D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да разяснява на в</w:t>
      </w:r>
      <w:r w:rsidR="008245C0" w:rsidRPr="00985E27">
        <w:t>ъзложителя значението на дадена информация, получена при изпълнението на договорните си задължения;</w:t>
      </w:r>
    </w:p>
    <w:p w:rsidR="008245C0" w:rsidRPr="00985E27" w:rsidRDefault="008245C0" w:rsidP="008245C0">
      <w:pPr>
        <w:pStyle w:val="ListParagraph"/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985E27">
        <w:t xml:space="preserve">да спазва Международно признати </w:t>
      </w:r>
      <w:proofErr w:type="spellStart"/>
      <w:r w:rsidRPr="00985E27">
        <w:t>одитни</w:t>
      </w:r>
      <w:proofErr w:type="spellEnd"/>
      <w:r w:rsidRPr="00985E27">
        <w:t xml:space="preserve"> стандарти и </w:t>
      </w:r>
      <w:r w:rsidR="0030454A">
        <w:t>Е</w:t>
      </w:r>
      <w:r w:rsidRPr="00985E27">
        <w:t>тичен кодекс.</w:t>
      </w:r>
    </w:p>
    <w:p w:rsidR="008245C0" w:rsidRDefault="008245C0" w:rsidP="00946BFA">
      <w:pPr>
        <w:pStyle w:val="ListParagraph"/>
        <w:spacing w:before="240" w:after="240" w:line="360" w:lineRule="auto"/>
        <w:jc w:val="both"/>
        <w:rPr>
          <w:b/>
          <w:color w:val="000000"/>
        </w:rPr>
      </w:pPr>
    </w:p>
    <w:p w:rsidR="0015730D" w:rsidRPr="0015730D" w:rsidRDefault="0015730D" w:rsidP="0015730D">
      <w:pPr>
        <w:pStyle w:val="ListParagraph"/>
        <w:numPr>
          <w:ilvl w:val="0"/>
          <w:numId w:val="23"/>
        </w:numPr>
        <w:spacing w:before="240" w:after="240" w:line="360" w:lineRule="auto"/>
        <w:jc w:val="both"/>
        <w:rPr>
          <w:b/>
          <w:color w:val="000000"/>
        </w:rPr>
      </w:pPr>
      <w:r w:rsidRPr="0015730D">
        <w:rPr>
          <w:b/>
          <w:color w:val="000000"/>
        </w:rPr>
        <w:t xml:space="preserve">Приложимо законодателство и документи </w:t>
      </w:r>
    </w:p>
    <w:p w:rsidR="0015730D" w:rsidRPr="0015730D" w:rsidRDefault="0015730D" w:rsidP="0015730D">
      <w:pPr>
        <w:jc w:val="both"/>
      </w:pPr>
      <w:r w:rsidRPr="0015730D">
        <w:t xml:space="preserve">При изпълнение на дейността </w:t>
      </w:r>
      <w:r w:rsidR="008711A4">
        <w:t>изпълнителят</w:t>
      </w:r>
      <w:r w:rsidRPr="0015730D">
        <w:t xml:space="preserve"> </w:t>
      </w:r>
      <w:r>
        <w:t xml:space="preserve">следва да </w:t>
      </w:r>
      <w:r w:rsidRPr="0015730D">
        <w:t xml:space="preserve">съблюдава спазването на изискванията на действащото </w:t>
      </w:r>
      <w:r w:rsidR="00EE2CEC">
        <w:t>право на Европейския съюз</w:t>
      </w:r>
      <w:r w:rsidR="00B77D5B">
        <w:t xml:space="preserve"> и национално </w:t>
      </w:r>
      <w:r w:rsidRPr="0015730D">
        <w:t>законодателство (и други документи), в това число: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Закон за финансовото управление и контрол в публичния сектор;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Закона за счетоводството;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Закона за управление на средствата от Европейските структурни и инвестиционни фондове;</w:t>
      </w:r>
    </w:p>
    <w:p w:rsidR="0015730D" w:rsidRPr="0015730D" w:rsidRDefault="0015730D" w:rsidP="00D4246D">
      <w:pPr>
        <w:ind w:left="360"/>
        <w:jc w:val="both"/>
      </w:pP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Закона за обществените поръчки и правилника за неговото прилагане;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Относимите регламенти за определяне на общи разпоредби на Европейските структурни и инвестиционни фондове;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Други приложими национални и европейски нормативни документи както и документи по Оперативна програма „Наука и образование за интелигентен растеж“ 2014-2020 като указания, наръчници, насоки, ръководства, вътрешни правила и други;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Договор за безвъзмездна финансова помощ</w:t>
      </w:r>
      <w:r w:rsidR="00C610BD">
        <w:t xml:space="preserve"> </w:t>
      </w:r>
      <w:r w:rsidRPr="0015730D">
        <w:rPr>
          <w:iCs/>
          <w:spacing w:val="-3"/>
        </w:rPr>
        <w:t xml:space="preserve">№ </w:t>
      </w:r>
      <w:r w:rsidRPr="0015730D">
        <w:rPr>
          <w:rFonts w:eastAsia="TimesNewRomanPSMT"/>
          <w:lang w:val="en-US"/>
        </w:rPr>
        <w:t>BG</w:t>
      </w:r>
      <w:r w:rsidRPr="0065520F">
        <w:rPr>
          <w:rFonts w:eastAsia="TimesNewRomanPSMT"/>
        </w:rPr>
        <w:t>05</w:t>
      </w:r>
      <w:r w:rsidRPr="0015730D">
        <w:rPr>
          <w:rFonts w:eastAsia="TimesNewRomanPSMT"/>
          <w:lang w:val="en-US"/>
        </w:rPr>
        <w:t>M</w:t>
      </w:r>
      <w:r w:rsidRPr="0065520F">
        <w:rPr>
          <w:rFonts w:eastAsia="TimesNewRomanPSMT"/>
        </w:rPr>
        <w:t>2</w:t>
      </w:r>
      <w:r w:rsidRPr="0015730D">
        <w:rPr>
          <w:rFonts w:eastAsia="TimesNewRomanPSMT"/>
          <w:lang w:val="en-US"/>
        </w:rPr>
        <w:t>OP</w:t>
      </w:r>
      <w:r w:rsidRPr="0065520F">
        <w:rPr>
          <w:rFonts w:eastAsia="TimesNewRomanPSMT"/>
        </w:rPr>
        <w:t>001-1.002-0001-</w:t>
      </w:r>
      <w:r w:rsidRPr="0015730D">
        <w:rPr>
          <w:rFonts w:eastAsia="TimesNewRomanPSMT"/>
          <w:lang w:val="en-US"/>
        </w:rPr>
        <w:t>C</w:t>
      </w:r>
      <w:r w:rsidRPr="0065520F">
        <w:rPr>
          <w:rFonts w:eastAsia="TimesNewRomanPSMT"/>
        </w:rPr>
        <w:t>0</w:t>
      </w:r>
      <w:r w:rsidRPr="0015730D">
        <w:rPr>
          <w:rFonts w:eastAsia="TimesNewRomanPSMT"/>
        </w:rPr>
        <w:t xml:space="preserve">1/ </w:t>
      </w:r>
      <w:r w:rsidRPr="0065520F">
        <w:rPr>
          <w:rFonts w:eastAsia="TimesNewRomanPSMT"/>
        </w:rPr>
        <w:t>10.08.2018</w:t>
      </w:r>
      <w:r w:rsidRPr="0015730D">
        <w:rPr>
          <w:rFonts w:eastAsia="TimesNewRomanPSMT"/>
        </w:rPr>
        <w:t xml:space="preserve"> г</w:t>
      </w:r>
      <w:r w:rsidRPr="0015730D">
        <w:rPr>
          <w:iCs/>
          <w:spacing w:val="-3"/>
        </w:rPr>
        <w:t>.</w:t>
      </w:r>
      <w:r>
        <w:rPr>
          <w:iCs/>
          <w:spacing w:val="-3"/>
        </w:rPr>
        <w:t>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>Условията за кандидатстване по процедура чрез подбор на проектни предложения BG05M2ОP001-1.002 „Изграждане и развитие на центрове за компетентност“, финанансирани от Оперативна програма „Наука и образование за интелигентен растеж“ 2014-2020</w:t>
      </w:r>
      <w:r>
        <w:t>;</w:t>
      </w:r>
    </w:p>
    <w:p w:rsidR="0015730D" w:rsidRPr="0015730D" w:rsidRDefault="0015730D" w:rsidP="0015730D">
      <w:pPr>
        <w:pStyle w:val="ListParagraph"/>
        <w:numPr>
          <w:ilvl w:val="0"/>
          <w:numId w:val="39"/>
        </w:numPr>
        <w:jc w:val="both"/>
      </w:pPr>
      <w:r w:rsidRPr="0015730D">
        <w:t xml:space="preserve">Международно признати </w:t>
      </w:r>
      <w:r w:rsidR="004C7DB3">
        <w:t xml:space="preserve">приложими </w:t>
      </w:r>
      <w:r w:rsidRPr="0015730D">
        <w:t>одиторски стандарти, в това число</w:t>
      </w:r>
      <w:r w:rsidR="004C7DB3">
        <w:t xml:space="preserve"> най-малко</w:t>
      </w:r>
      <w:r w:rsidRPr="0015730D">
        <w:t>:</w:t>
      </w:r>
      <w:r w:rsidR="004C7DB3">
        <w:t xml:space="preserve">Международен стандарт за свързани по съдържание услуги 4400 </w:t>
      </w:r>
      <w:r w:rsidR="004C7DB3">
        <w:rPr>
          <w:bCs/>
        </w:rPr>
        <w:t>“</w:t>
      </w:r>
      <w:r w:rsidR="004C7DB3">
        <w:t xml:space="preserve">Ангажименти за извършване на договорени процедури относно финансова информация“ </w:t>
      </w:r>
      <w:r w:rsidRPr="00505FBD">
        <w:t>, издаван</w:t>
      </w:r>
      <w:r w:rsidRPr="0015730D">
        <w:t xml:space="preserve"> от Международната федерация на счетоводителите (IFAC)</w:t>
      </w:r>
      <w:r w:rsidR="004F628D">
        <w:t xml:space="preserve"> или еквивалентни</w:t>
      </w:r>
      <w:r w:rsidRPr="0015730D">
        <w:t>.</w:t>
      </w:r>
    </w:p>
    <w:p w:rsidR="0015730D" w:rsidRPr="00F47BB6" w:rsidRDefault="0015730D" w:rsidP="0015730D">
      <w:pPr>
        <w:ind w:right="136"/>
        <w:jc w:val="both"/>
      </w:pPr>
    </w:p>
    <w:p w:rsidR="00745F4D" w:rsidRPr="0015730D" w:rsidRDefault="00745F4D" w:rsidP="0015730D">
      <w:pPr>
        <w:pStyle w:val="ListParagraph"/>
        <w:numPr>
          <w:ilvl w:val="0"/>
          <w:numId w:val="23"/>
        </w:numPr>
        <w:tabs>
          <w:tab w:val="left" w:pos="0"/>
        </w:tabs>
        <w:ind w:right="136"/>
        <w:jc w:val="both"/>
        <w:rPr>
          <w:b/>
        </w:rPr>
      </w:pPr>
      <w:r w:rsidRPr="0015730D">
        <w:rPr>
          <w:b/>
        </w:rPr>
        <w:t xml:space="preserve">Изисквания към документите, които следва да бъдат изготвени </w:t>
      </w:r>
      <w:r w:rsidR="0015730D">
        <w:rPr>
          <w:b/>
        </w:rPr>
        <w:t>при</w:t>
      </w:r>
      <w:r w:rsidRPr="0015730D">
        <w:rPr>
          <w:b/>
        </w:rPr>
        <w:t xml:space="preserve"> изпълнение на </w:t>
      </w:r>
      <w:r w:rsidR="00890EA5">
        <w:rPr>
          <w:b/>
        </w:rPr>
        <w:t>ангажимента за извършване на договорени процедури</w:t>
      </w:r>
    </w:p>
    <w:p w:rsidR="0015730D" w:rsidRDefault="0015730D" w:rsidP="0015730D">
      <w:pPr>
        <w:ind w:right="136"/>
        <w:contextualSpacing/>
        <w:jc w:val="both"/>
      </w:pPr>
    </w:p>
    <w:p w:rsidR="00745F4D" w:rsidRPr="00985E27" w:rsidRDefault="00745F4D" w:rsidP="0015730D">
      <w:pPr>
        <w:ind w:right="136"/>
        <w:contextualSpacing/>
        <w:jc w:val="both"/>
      </w:pPr>
      <w:r w:rsidRPr="00985E27">
        <w:t>Изпълнителят</w:t>
      </w:r>
      <w:r w:rsidR="00890EA5">
        <w:t xml:space="preserve"> отчита своята дейност, като изготвя в писмена </w:t>
      </w:r>
      <w:proofErr w:type="spellStart"/>
      <w:r w:rsidR="00890EA5">
        <w:t>форма</w:t>
      </w:r>
      <w:r w:rsidRPr="00985E27">
        <w:t>доклади</w:t>
      </w:r>
      <w:proofErr w:type="spellEnd"/>
      <w:r w:rsidRPr="00985E27">
        <w:t xml:space="preserve"> </w:t>
      </w:r>
      <w:r w:rsidR="00890EA5">
        <w:t>за фактически констатации, които</w:t>
      </w:r>
      <w:r w:rsidRPr="00985E27">
        <w:t xml:space="preserve"> следва да </w:t>
      </w:r>
      <w:r w:rsidR="00890EA5">
        <w:t>бъдат съобразени с</w:t>
      </w:r>
      <w:r w:rsidRPr="00985E27">
        <w:t xml:space="preserve"> изискванията на </w:t>
      </w:r>
      <w:r w:rsidR="00AE6DD7">
        <w:t xml:space="preserve">приложимите </w:t>
      </w:r>
      <w:r w:rsidRPr="00985E27">
        <w:t xml:space="preserve">Международни </w:t>
      </w:r>
      <w:proofErr w:type="spellStart"/>
      <w:r w:rsidRPr="00985E27">
        <w:t>одиторски</w:t>
      </w:r>
      <w:proofErr w:type="spellEnd"/>
      <w:r w:rsidRPr="00985E27">
        <w:t xml:space="preserve"> стандарти, </w:t>
      </w:r>
      <w:r w:rsidR="00890EA5">
        <w:t xml:space="preserve">приложимото национално законодателство, </w:t>
      </w:r>
      <w:r w:rsidRPr="00985E27">
        <w:t>Указания на М</w:t>
      </w:r>
      <w:r w:rsidR="008711A4">
        <w:t xml:space="preserve">инистерство на </w:t>
      </w:r>
      <w:r w:rsidR="008711A4">
        <w:lastRenderedPageBreak/>
        <w:t>финансите</w:t>
      </w:r>
      <w:r w:rsidRPr="00985E27">
        <w:t xml:space="preserve"> относно счетоводното и бюджетно отчитане на разходите, както и всички документи, ко</w:t>
      </w:r>
      <w:r w:rsidR="008711A4">
        <w:t>ито ще му бъдат представени от в</w:t>
      </w:r>
      <w:r w:rsidRPr="00985E27">
        <w:t xml:space="preserve">ъзложителя във връзка с изпълнение на неговата дейност. </w:t>
      </w:r>
    </w:p>
    <w:p w:rsidR="00EF35FE" w:rsidRDefault="00EF35FE" w:rsidP="00EF35FE">
      <w:pPr>
        <w:jc w:val="both"/>
      </w:pPr>
    </w:p>
    <w:p w:rsidR="00745F4D" w:rsidRPr="00985E27" w:rsidRDefault="00745F4D" w:rsidP="008711A4">
      <w:pPr>
        <w:ind w:right="136"/>
        <w:contextualSpacing/>
        <w:jc w:val="both"/>
      </w:pPr>
      <w:r w:rsidRPr="00985E27">
        <w:t>Изпълнителят представя следните видове доклади</w:t>
      </w:r>
      <w:r w:rsidR="00AE6DD7">
        <w:t xml:space="preserve"> за фактически констатации</w:t>
      </w:r>
      <w:r w:rsidRPr="00985E27">
        <w:t>:</w:t>
      </w:r>
    </w:p>
    <w:p w:rsidR="00B168D5" w:rsidRPr="00B168D5" w:rsidRDefault="001520F2" w:rsidP="008711A4">
      <w:pPr>
        <w:pStyle w:val="ListParagraph"/>
        <w:numPr>
          <w:ilvl w:val="0"/>
          <w:numId w:val="42"/>
        </w:numPr>
        <w:ind w:right="136"/>
        <w:jc w:val="both"/>
        <w:rPr>
          <w:b/>
        </w:rPr>
      </w:pPr>
      <w:r w:rsidRPr="001520F2">
        <w:rPr>
          <w:b/>
        </w:rPr>
        <w:t>Доклади</w:t>
      </w:r>
      <w:r w:rsidR="00AE1C60">
        <w:rPr>
          <w:b/>
        </w:rPr>
        <w:t xml:space="preserve"> за фактически констатации</w:t>
      </w:r>
      <w:r w:rsidR="00087971">
        <w:rPr>
          <w:b/>
        </w:rPr>
        <w:t>,</w:t>
      </w:r>
      <w:r w:rsidRPr="001520F2">
        <w:rPr>
          <w:b/>
        </w:rPr>
        <w:t xml:space="preserve"> изготвени в резултат на „Междинна проверка по ангажимента за договорени процедури“ </w:t>
      </w:r>
      <w:r w:rsidR="006677CF">
        <w:t>-</w:t>
      </w:r>
      <w:r w:rsidR="006677CF" w:rsidRPr="00985E27">
        <w:t xml:space="preserve"> </w:t>
      </w:r>
      <w:r w:rsidR="005B54F2">
        <w:t>изго</w:t>
      </w:r>
      <w:r w:rsidR="006677CF" w:rsidRPr="00985E27">
        <w:t xml:space="preserve">твят се по преценка на възложителя при подаване на искане за междинно плащане по проекта. Възложителят не е длъжен да възлага изготвяне на  доклад </w:t>
      </w:r>
      <w:r>
        <w:t xml:space="preserve">за фактически констатации </w:t>
      </w:r>
      <w:r w:rsidR="006677CF" w:rsidRPr="00985E27">
        <w:t>към всяко искане за междинно плащане по проекта.</w:t>
      </w:r>
      <w:r w:rsidR="006677CF">
        <w:t xml:space="preserve"> </w:t>
      </w:r>
      <w:r w:rsidR="006677CF" w:rsidRPr="00985E27">
        <w:t>Преценката се извършва съобразно обема и естеството на отчитаните дейности</w:t>
      </w:r>
      <w:r w:rsidR="00B168D5">
        <w:t>.</w:t>
      </w:r>
    </w:p>
    <w:p w:rsidR="00745F4D" w:rsidRDefault="00B168D5" w:rsidP="000349D5">
      <w:pPr>
        <w:jc w:val="both"/>
        <w:rPr>
          <w:rFonts w:eastAsia="TimesNewRomanPSMT"/>
          <w:b/>
        </w:rPr>
      </w:pPr>
      <w:r>
        <w:rPr>
          <w:b/>
        </w:rPr>
        <w:t xml:space="preserve">За целите на настоящата обществена поръчка възложителят планира да възложи изготвянето на </w:t>
      </w:r>
      <w:r w:rsidR="00393E44">
        <w:rPr>
          <w:b/>
        </w:rPr>
        <w:t xml:space="preserve">най-малко </w:t>
      </w:r>
      <w:r>
        <w:rPr>
          <w:b/>
        </w:rPr>
        <w:t xml:space="preserve">три </w:t>
      </w:r>
      <w:r w:rsidR="001520F2">
        <w:rPr>
          <w:b/>
        </w:rPr>
        <w:t xml:space="preserve">доклада за фактически констатации в резултат на „Междинна проверка по ангажимента за договорени процедури“ </w:t>
      </w:r>
      <w:r w:rsidR="000349D5">
        <w:t xml:space="preserve">. </w:t>
      </w:r>
      <w:r w:rsidR="000349D5" w:rsidRPr="009F22B9">
        <w:rPr>
          <w:rFonts w:eastAsia="TimesNewRomanPSMT"/>
          <w:b/>
        </w:rPr>
        <w:t>Ориентировъч</w:t>
      </w:r>
      <w:r w:rsidR="000349D5">
        <w:rPr>
          <w:rFonts w:eastAsia="TimesNewRomanPSMT"/>
          <w:b/>
        </w:rPr>
        <w:t>ният</w:t>
      </w:r>
      <w:r w:rsidR="000349D5" w:rsidRPr="009F22B9">
        <w:rPr>
          <w:rFonts w:eastAsia="TimesNewRomanPSMT"/>
          <w:b/>
        </w:rPr>
        <w:t xml:space="preserve"> срок за извършване на </w:t>
      </w:r>
      <w:r w:rsidR="001520F2">
        <w:rPr>
          <w:rFonts w:eastAsia="TimesNewRomanPSMT"/>
          <w:b/>
        </w:rPr>
        <w:t xml:space="preserve">една междинна </w:t>
      </w:r>
      <w:r w:rsidR="000349D5" w:rsidRPr="009F22B9">
        <w:rPr>
          <w:rFonts w:eastAsia="TimesNewRomanPSMT"/>
          <w:b/>
        </w:rPr>
        <w:t xml:space="preserve">проверка с цел изготвяне на доклад е </w:t>
      </w:r>
      <w:r w:rsidR="00E16079">
        <w:rPr>
          <w:rFonts w:eastAsia="TimesNewRomanPSMT"/>
          <w:b/>
        </w:rPr>
        <w:t xml:space="preserve">до </w:t>
      </w:r>
      <w:r w:rsidR="000349D5" w:rsidRPr="009F22B9">
        <w:rPr>
          <w:rFonts w:eastAsia="TimesNewRomanPSMT"/>
          <w:b/>
        </w:rPr>
        <w:t xml:space="preserve">5 </w:t>
      </w:r>
      <w:r w:rsidR="000349D5">
        <w:rPr>
          <w:rFonts w:eastAsia="TimesNewRomanPSMT"/>
          <w:b/>
          <w:lang w:val="en-US"/>
        </w:rPr>
        <w:t>(</w:t>
      </w:r>
      <w:r w:rsidR="000349D5">
        <w:rPr>
          <w:rFonts w:eastAsia="TimesNewRomanPSMT"/>
          <w:b/>
        </w:rPr>
        <w:t>пет</w:t>
      </w:r>
      <w:r w:rsidR="000349D5">
        <w:rPr>
          <w:rFonts w:eastAsia="TimesNewRomanPSMT"/>
          <w:b/>
          <w:lang w:val="en-US"/>
        </w:rPr>
        <w:t xml:space="preserve">) </w:t>
      </w:r>
      <w:r w:rsidR="000349D5" w:rsidRPr="009F22B9">
        <w:rPr>
          <w:rFonts w:eastAsia="TimesNewRomanPSMT"/>
          <w:b/>
        </w:rPr>
        <w:t>месеца, считано от датата на получаване на възлагателно писмо от възложителя.</w:t>
      </w:r>
    </w:p>
    <w:p w:rsidR="000349D5" w:rsidRDefault="000349D5" w:rsidP="000349D5">
      <w:pPr>
        <w:jc w:val="both"/>
      </w:pPr>
    </w:p>
    <w:p w:rsidR="00921DAB" w:rsidRPr="008552F5" w:rsidRDefault="00087971" w:rsidP="00921DAB">
      <w:pPr>
        <w:pStyle w:val="ListParagraph"/>
        <w:numPr>
          <w:ilvl w:val="0"/>
          <w:numId w:val="42"/>
        </w:numPr>
        <w:jc w:val="both"/>
      </w:pPr>
      <w:r>
        <w:rPr>
          <w:b/>
        </w:rPr>
        <w:t>Доклад</w:t>
      </w:r>
      <w:r w:rsidR="00AE1C60">
        <w:rPr>
          <w:b/>
        </w:rPr>
        <w:t xml:space="preserve"> за фактически констатации</w:t>
      </w:r>
      <w:r>
        <w:rPr>
          <w:b/>
        </w:rPr>
        <w:t xml:space="preserve">, изготвен в резултат на „Окончателна проверка по ангажимента за договорени процедури“ </w:t>
      </w:r>
      <w:r w:rsidR="00745F4D" w:rsidRPr="00921DAB">
        <w:rPr>
          <w:b/>
        </w:rPr>
        <w:t xml:space="preserve"> – </w:t>
      </w:r>
      <w:r w:rsidRPr="00D4246D">
        <w:t>изготвя се</w:t>
      </w:r>
      <w:r>
        <w:rPr>
          <w:b/>
        </w:rPr>
        <w:t xml:space="preserve"> </w:t>
      </w:r>
      <w:r w:rsidR="00745F4D" w:rsidRPr="00985E27">
        <w:t>при приключване на проекта и представяне на окончателно искане за плащане по проекта (задължителен).</w:t>
      </w:r>
      <w:r w:rsidR="00921DAB" w:rsidRPr="00921DAB">
        <w:t xml:space="preserve"> </w:t>
      </w:r>
      <w:r w:rsidR="00921DAB">
        <w:t xml:space="preserve">Водещата организация представя на </w:t>
      </w:r>
      <w:r w:rsidR="00921DAB" w:rsidRPr="00985E27">
        <w:t xml:space="preserve">Управляващия орган на Оперативна програма „Наука и образование за интелигентен растеж“ 2014-2020 </w:t>
      </w:r>
      <w:r w:rsidR="00921DAB">
        <w:t>о</w:t>
      </w:r>
      <w:r w:rsidR="00921DAB" w:rsidRPr="00985E27">
        <w:t xml:space="preserve">кончателен </w:t>
      </w:r>
      <w:r w:rsidR="00921DAB" w:rsidRPr="008552F5">
        <w:t xml:space="preserve">отчет, придружен с  доклад </w:t>
      </w:r>
      <w:r w:rsidR="00AE1C60">
        <w:t xml:space="preserve">за фактически констатации </w:t>
      </w:r>
      <w:r w:rsidR="00921DAB" w:rsidRPr="008552F5">
        <w:t xml:space="preserve">до един месец след приключване на дейностите по проекта.  </w:t>
      </w:r>
    </w:p>
    <w:p w:rsidR="003F5E75" w:rsidRDefault="003F5E75" w:rsidP="008711A4">
      <w:pPr>
        <w:ind w:right="136"/>
        <w:contextualSpacing/>
        <w:jc w:val="both"/>
      </w:pPr>
    </w:p>
    <w:p w:rsidR="000307E5" w:rsidRDefault="00EF35FE" w:rsidP="00270DE3">
      <w:pPr>
        <w:jc w:val="both"/>
        <w:rPr>
          <w:rFonts w:eastAsia="TimesNewRomanPSMT"/>
        </w:rPr>
      </w:pPr>
      <w:r w:rsidRPr="00985E27">
        <w:t xml:space="preserve">Изготвянето на </w:t>
      </w:r>
      <w:r w:rsidR="00AE1C60">
        <w:t xml:space="preserve">всеки един </w:t>
      </w:r>
      <w:r w:rsidRPr="00985E27">
        <w:t xml:space="preserve">доклад </w:t>
      </w:r>
      <w:r w:rsidR="00AE1C60">
        <w:t xml:space="preserve">за фактически констатации </w:t>
      </w:r>
      <w:r w:rsidRPr="00985E27">
        <w:t>по проекта започва да тече от датата на получаване на възлагателно писмо от възложителя.</w:t>
      </w:r>
      <w:r w:rsidR="0050200C" w:rsidRPr="0050200C">
        <w:rPr>
          <w:rFonts w:eastAsia="TimesNewRomanPSMT"/>
        </w:rPr>
        <w:t xml:space="preserve"> </w:t>
      </w:r>
    </w:p>
    <w:p w:rsidR="000307E5" w:rsidRDefault="000307E5" w:rsidP="00270DE3">
      <w:pPr>
        <w:jc w:val="both"/>
        <w:rPr>
          <w:rFonts w:eastAsia="TimesNewRomanPSMT"/>
        </w:rPr>
      </w:pPr>
    </w:p>
    <w:p w:rsidR="00270DE3" w:rsidRDefault="0050200C" w:rsidP="00270DE3">
      <w:pPr>
        <w:jc w:val="both"/>
        <w:rPr>
          <w:rFonts w:eastAsia="TimesNewRomanPSMT"/>
        </w:rPr>
      </w:pPr>
      <w:r w:rsidRPr="00985E27">
        <w:rPr>
          <w:rFonts w:eastAsia="TimesNewRomanPSMT"/>
        </w:rPr>
        <w:t>Продължителността на изпълнение на проекта, обема и изключително специфичното и разнородно естество на дейностите по проекта, както и големия</w:t>
      </w:r>
      <w:r w:rsidR="00A234C1">
        <w:rPr>
          <w:rFonts w:eastAsia="TimesNewRomanPSMT"/>
        </w:rPr>
        <w:t>т</w:t>
      </w:r>
      <w:r w:rsidRPr="00985E27">
        <w:rPr>
          <w:rFonts w:eastAsia="TimesNewRomanPSMT"/>
        </w:rPr>
        <w:t xml:space="preserve"> брой партньори, всеки от които е с отделен адрес на управление</w:t>
      </w:r>
      <w:r w:rsidR="00A234C1">
        <w:rPr>
          <w:rFonts w:eastAsia="TimesNewRomanPSMT"/>
        </w:rPr>
        <w:t xml:space="preserve">, </w:t>
      </w:r>
      <w:r w:rsidRPr="00985E27">
        <w:rPr>
          <w:rFonts w:eastAsia="TimesNewRomanPSMT"/>
        </w:rPr>
        <w:t xml:space="preserve">обуславят необходимостта </w:t>
      </w:r>
      <w:r w:rsidR="00AE1C60">
        <w:rPr>
          <w:rFonts w:eastAsia="TimesNewRomanPSMT"/>
        </w:rPr>
        <w:t xml:space="preserve">ангажимента за договорени процедури </w:t>
      </w:r>
      <w:r w:rsidRPr="00985E27">
        <w:rPr>
          <w:rFonts w:eastAsia="TimesNewRomanPSMT"/>
        </w:rPr>
        <w:t xml:space="preserve"> да се изъвршва през целия срок на проекта, на място при всеки един от партньорите по проекта</w:t>
      </w:r>
      <w:r>
        <w:rPr>
          <w:rFonts w:eastAsia="TimesNewRomanPSMT"/>
        </w:rPr>
        <w:t>.</w:t>
      </w:r>
    </w:p>
    <w:p w:rsidR="0050200C" w:rsidRPr="009F22B9" w:rsidRDefault="0050200C" w:rsidP="00270DE3">
      <w:pPr>
        <w:jc w:val="both"/>
        <w:rPr>
          <w:b/>
        </w:rPr>
      </w:pPr>
    </w:p>
    <w:p w:rsidR="00745F4D" w:rsidRPr="00985E27" w:rsidRDefault="00745F4D" w:rsidP="008711A4">
      <w:pPr>
        <w:ind w:right="136"/>
        <w:contextualSpacing/>
        <w:jc w:val="both"/>
      </w:pPr>
      <w:r w:rsidRPr="00985E27">
        <w:t xml:space="preserve">Изготвените в резултат на дейността доклади </w:t>
      </w:r>
      <w:r w:rsidR="00AE1C60">
        <w:t xml:space="preserve">за фактически констатации </w:t>
      </w:r>
      <w:r w:rsidRPr="00985E27">
        <w:t xml:space="preserve">следва да включват </w:t>
      </w:r>
      <w:r w:rsidR="00AE1C60">
        <w:t>констатации</w:t>
      </w:r>
      <w:r w:rsidRPr="00985E27">
        <w:t xml:space="preserve">, направени в резултат на одита, както и препоръки за последващи коригиращи действия, при необходимост от такива. В случай, че някой/и от компонентите на ангажимента не е/не са изпълнен/и в съответствие с избраните стандарти, този факт изрично трябва да се обяви в </w:t>
      </w:r>
      <w:proofErr w:type="spellStart"/>
      <w:r w:rsidRPr="00985E27">
        <w:t>доклад</w:t>
      </w:r>
      <w:r w:rsidR="00AE1C60">
        <w:t>аи</w:t>
      </w:r>
      <w:proofErr w:type="spellEnd"/>
      <w:r w:rsidR="00AE1C60">
        <w:t xml:space="preserve"> </w:t>
      </w:r>
      <w:r w:rsidRPr="00985E27">
        <w:t>се обяв</w:t>
      </w:r>
      <w:r w:rsidR="00AE1C60">
        <w:t>ява</w:t>
      </w:r>
      <w:r w:rsidRPr="00985E27">
        <w:t xml:space="preserve"> причината за това несъответствие. </w:t>
      </w:r>
    </w:p>
    <w:p w:rsidR="00745F4D" w:rsidRPr="00985E27" w:rsidRDefault="00745F4D" w:rsidP="00745F4D">
      <w:pPr>
        <w:ind w:right="136" w:firstLine="709"/>
        <w:contextualSpacing/>
        <w:jc w:val="both"/>
      </w:pPr>
    </w:p>
    <w:p w:rsidR="00745F4D" w:rsidRPr="00985E27" w:rsidRDefault="00891997" w:rsidP="000C70D6">
      <w:pPr>
        <w:ind w:right="136"/>
        <w:contextualSpacing/>
        <w:jc w:val="both"/>
      </w:pPr>
      <w:r>
        <w:t xml:space="preserve">Докладите </w:t>
      </w:r>
      <w:r w:rsidR="00AE1C60">
        <w:t xml:space="preserve">за фактически констатации </w:t>
      </w:r>
      <w:r>
        <w:t>следва да бъдат съставени на</w:t>
      </w:r>
      <w:r w:rsidRPr="00985E27">
        <w:t xml:space="preserve"> български език в два еднообразн</w:t>
      </w:r>
      <w:r>
        <w:t>и екземпляра на хартиен носител и един екземпляр</w:t>
      </w:r>
      <w:r w:rsidRPr="00985E27">
        <w:t xml:space="preserve"> на електронен носител </w:t>
      </w:r>
      <w:r>
        <w:t>и да и</w:t>
      </w:r>
      <w:r w:rsidR="00745F4D" w:rsidRPr="00985E27">
        <w:t>мат следното индикативно съдържание: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 xml:space="preserve">Дата на издаване </w:t>
      </w:r>
      <w:r w:rsidR="00953E05">
        <w:t xml:space="preserve">и пореден номер </w:t>
      </w:r>
      <w:r w:rsidRPr="00985E27">
        <w:t>на доклада;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Номер на искане за плащане, за което се отнася докладът (относимо само за междинна проверка);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Оперативна програма, по която се финансира проектът;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Наименование на проверявания проект;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Източници и размер на финансиране на проекта;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Период, в който е извършена междинната/окончателната проверка;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 xml:space="preserve">Одитор/одиторски екип, извършил ангажимента; 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Общо описание на целите на ангажимента, обхвата, целите и обектите на проверката;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lastRenderedPageBreak/>
        <w:t>Таблица с всички констатации и препоръки във връзка с тях, групирани по същественост;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Подробна рекапитулация на отчетените допустими разходи по проекта и исканата от бенефициента сума;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Основание за изпълнение на ангажимента (сключен договор за услуга № ....);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Цитиране на стандартите, по които е извършен ангажиментът;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Подробно описание на изпълнените процедури във връзка със зададения обхват на проверката;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Списък с основните прегледани документи;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Таблично приложение с проверяваните разходи, съдържащо най-малкото описание на разхода, сума, допустимост на разхода (допустим/недопустим);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Потвърждение от одитора, че с извършените от него процедури е покрил зададения обхват на одитната проверка;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Описание на установените пропуски и направените препоръки за тях, както и направения коментар от страна на ръководството на проекта/бенефициента и предприетите действия за тяхната реализация;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Описание на слабости с финансово влияние, установени от одитора при предходни проверки по ангажимента за договорени процедури по проекта, които не са били отстранени;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Друга релевантна информация (по преценка на одитора);</w:t>
      </w:r>
    </w:p>
    <w:p w:rsidR="00745F4D" w:rsidRPr="00985E27" w:rsidRDefault="00745F4D" w:rsidP="00953E05">
      <w:pPr>
        <w:numPr>
          <w:ilvl w:val="0"/>
          <w:numId w:val="43"/>
        </w:numPr>
        <w:ind w:right="136"/>
        <w:contextualSpacing/>
        <w:jc w:val="both"/>
      </w:pPr>
      <w:r w:rsidRPr="00985E27">
        <w:t>Друга информация, съобразно най-актуалния образец на Доклад за фактически констатации (ако има такъв), публикуван от У</w:t>
      </w:r>
      <w:r w:rsidR="00953E05">
        <w:t>правляващия орган</w:t>
      </w:r>
      <w:r w:rsidRPr="00985E27">
        <w:t xml:space="preserve"> на </w:t>
      </w:r>
      <w:r w:rsidRPr="00985E27">
        <w:rPr>
          <w:shd w:val="clear" w:color="auto" w:fill="FFFFFF"/>
        </w:rPr>
        <w:t>Оперативна програма „Наука и образование за интелигентен растеж“ 2014-2020</w:t>
      </w:r>
      <w:r w:rsidRPr="00985E27">
        <w:t>.</w:t>
      </w:r>
    </w:p>
    <w:p w:rsidR="00745F4D" w:rsidRPr="0065520F" w:rsidRDefault="00745F4D" w:rsidP="00745F4D">
      <w:pPr>
        <w:ind w:left="360" w:right="136"/>
        <w:contextualSpacing/>
        <w:jc w:val="both"/>
      </w:pPr>
    </w:p>
    <w:p w:rsidR="00745F4D" w:rsidRDefault="00745F4D" w:rsidP="00AC47CF">
      <w:pPr>
        <w:shd w:val="clear" w:color="auto" w:fill="FFFFFF"/>
        <w:spacing w:after="200" w:line="257" w:lineRule="atLeast"/>
        <w:jc w:val="both"/>
        <w:rPr>
          <w:bCs/>
          <w:color w:val="000000"/>
        </w:rPr>
      </w:pPr>
      <w:r w:rsidRPr="00AC47CF">
        <w:t>Прегледът на документи от страна на одиторския екип и набирането на информация, необходима за изготвянето на доклади</w:t>
      </w:r>
      <w:r w:rsidR="00AE1C60">
        <w:t>те за фактически констатации</w:t>
      </w:r>
      <w:r w:rsidRPr="00AC47CF">
        <w:t>, се извършва на място при всеки от</w:t>
      </w:r>
      <w:r w:rsidR="00AC47CF" w:rsidRPr="00AC47CF">
        <w:t xml:space="preserve"> парт</w:t>
      </w:r>
      <w:r w:rsidRPr="00AC47CF">
        <w:rPr>
          <w:bCs/>
          <w:color w:val="000000"/>
        </w:rPr>
        <w:t>ньори</w:t>
      </w:r>
      <w:r w:rsidR="00AC47CF" w:rsidRPr="00AC47CF">
        <w:rPr>
          <w:bCs/>
          <w:color w:val="000000"/>
        </w:rPr>
        <w:t>те по проекта.</w:t>
      </w:r>
    </w:p>
    <w:p w:rsidR="00745F4D" w:rsidRDefault="00745F4D" w:rsidP="00AC47CF">
      <w:pPr>
        <w:jc w:val="both"/>
      </w:pPr>
      <w:r w:rsidRPr="00AC47CF">
        <w:t xml:space="preserve">Партньорите  по проекта (възложители на обществени поръчки по </w:t>
      </w:r>
      <w:r w:rsidR="00AC47CF" w:rsidRPr="00AC47CF">
        <w:t xml:space="preserve">смисъла на </w:t>
      </w:r>
      <w:r w:rsidRPr="00AC47CF">
        <w:t>ЗОП), са отговорни за правилното съхранение на цялата документация в периода на изпълнение на проекта, в с</w:t>
      </w:r>
      <w:r w:rsidR="00AC47CF" w:rsidRPr="00AC47CF">
        <w:t>ъответствие с изискванията на Оперативна програма „Наука за образование и интелигентен растеж“ 2014-2020.</w:t>
      </w:r>
    </w:p>
    <w:p w:rsidR="005B54F2" w:rsidRDefault="005B54F2" w:rsidP="005B54F2">
      <w:pPr>
        <w:jc w:val="both"/>
      </w:pPr>
    </w:p>
    <w:p w:rsidR="0083553D" w:rsidRDefault="0050200C" w:rsidP="001B5312">
      <w:pPr>
        <w:tabs>
          <w:tab w:val="left" w:pos="6840"/>
        </w:tabs>
        <w:jc w:val="both"/>
      </w:pPr>
      <w:r w:rsidRPr="00DB3F7E">
        <w:t xml:space="preserve">От началото на изпълнение на проекта към Управляващия орган на Оперативна програма „Наука и образование за интелигентен растеж“ 2014-2020 са подадени </w:t>
      </w:r>
      <w:r w:rsidR="00D67366" w:rsidRPr="00DB3F7E">
        <w:rPr>
          <w:lang w:val="en-US"/>
        </w:rPr>
        <w:t>5</w:t>
      </w:r>
      <w:r w:rsidR="00D67366" w:rsidRPr="00DB3F7E">
        <w:t xml:space="preserve"> </w:t>
      </w:r>
      <w:r w:rsidRPr="00DB3F7E">
        <w:t>броя искания за междинни плащания, като през този период активно се изпълняват етапи от</w:t>
      </w:r>
      <w:r w:rsidR="0083553D">
        <w:t>:</w:t>
      </w:r>
    </w:p>
    <w:p w:rsidR="0083553D" w:rsidRPr="0083553D" w:rsidRDefault="0050200C" w:rsidP="0083553D">
      <w:pPr>
        <w:pStyle w:val="ListParagraph"/>
        <w:numPr>
          <w:ilvl w:val="0"/>
          <w:numId w:val="44"/>
        </w:numPr>
        <w:tabs>
          <w:tab w:val="left" w:pos="6840"/>
        </w:tabs>
        <w:jc w:val="both"/>
        <w:rPr>
          <w:rFonts w:eastAsia="TimesNewRomanPSMT"/>
        </w:rPr>
      </w:pPr>
      <w:r w:rsidRPr="00DB3F7E">
        <w:t xml:space="preserve">Дейност 1 </w:t>
      </w:r>
      <w:r w:rsidRPr="0083553D">
        <w:rPr>
          <w:rFonts w:eastAsia="TimesNewRomanPSMT"/>
        </w:rPr>
        <w:t>включващ</w:t>
      </w:r>
      <w:r w:rsidR="001B5312" w:rsidRPr="0083553D">
        <w:rPr>
          <w:rFonts w:eastAsia="TimesNewRomanPSMT"/>
        </w:rPr>
        <w:t>а</w:t>
      </w:r>
      <w:r w:rsidR="000612D9">
        <w:rPr>
          <w:rFonts w:eastAsia="TimesNewRomanPSMT"/>
        </w:rPr>
        <w:t>:</w:t>
      </w:r>
      <w:r w:rsidRPr="0083553D">
        <w:rPr>
          <w:rFonts w:eastAsia="TimesNewRomanPSMT"/>
        </w:rPr>
        <w:t xml:space="preserve"> закупуване и инсталиране на основно специализирано обурудване за изграждане на Центъра по компетентност, организирано в няколко функционално и териториално обособени звена; </w:t>
      </w:r>
      <w:r w:rsidR="00A234C1" w:rsidRPr="0083553D">
        <w:rPr>
          <w:rFonts w:eastAsia="TimesNewRomanPSMT"/>
        </w:rPr>
        <w:t xml:space="preserve">възлагане и </w:t>
      </w:r>
      <w:r w:rsidRPr="0083553D">
        <w:rPr>
          <w:rFonts w:eastAsia="TimesNewRomanPSMT"/>
        </w:rPr>
        <w:t xml:space="preserve">изпълнение на дейности по проектиране, авторски и строителен надзор; </w:t>
      </w:r>
    </w:p>
    <w:p w:rsidR="0083553D" w:rsidRPr="0083553D" w:rsidRDefault="0050200C" w:rsidP="0083553D">
      <w:pPr>
        <w:pStyle w:val="ListParagraph"/>
        <w:numPr>
          <w:ilvl w:val="0"/>
          <w:numId w:val="44"/>
        </w:numPr>
        <w:tabs>
          <w:tab w:val="left" w:pos="6840"/>
        </w:tabs>
        <w:jc w:val="both"/>
        <w:rPr>
          <w:rFonts w:eastAsia="TimesNewRomanPSMT"/>
        </w:rPr>
      </w:pPr>
      <w:r w:rsidRPr="0083553D">
        <w:rPr>
          <w:rFonts w:eastAsia="TimesNewRomanPSMT"/>
        </w:rPr>
        <w:t>Дейност 8 включваща</w:t>
      </w:r>
      <w:r w:rsidR="000612D9">
        <w:rPr>
          <w:rFonts w:eastAsia="TimesNewRomanPSMT"/>
        </w:rPr>
        <w:t>:</w:t>
      </w:r>
      <w:r w:rsidRPr="0083553D">
        <w:rPr>
          <w:rFonts w:eastAsia="TimesNewRomanPSMT"/>
        </w:rPr>
        <w:t xml:space="preserve"> функции по огранизация и управление на проекта и</w:t>
      </w:r>
    </w:p>
    <w:p w:rsidR="00650A3C" w:rsidRDefault="0050200C" w:rsidP="00650A3C">
      <w:pPr>
        <w:pStyle w:val="ListParagraph"/>
        <w:numPr>
          <w:ilvl w:val="0"/>
          <w:numId w:val="44"/>
        </w:numPr>
        <w:tabs>
          <w:tab w:val="left" w:pos="6840"/>
        </w:tabs>
        <w:jc w:val="both"/>
        <w:rPr>
          <w:rFonts w:eastAsia="TimesNewRomanPSMT"/>
        </w:rPr>
      </w:pPr>
      <w:r w:rsidRPr="0083553D">
        <w:rPr>
          <w:rFonts w:eastAsia="TimesNewRomanPSMT"/>
        </w:rPr>
        <w:t>Дейност 9 включваща</w:t>
      </w:r>
      <w:r w:rsidR="000612D9">
        <w:rPr>
          <w:rFonts w:eastAsia="TimesNewRomanPSMT"/>
        </w:rPr>
        <w:t>:</w:t>
      </w:r>
      <w:r w:rsidRPr="0083553D">
        <w:rPr>
          <w:rFonts w:eastAsia="TimesNewRomanPSMT"/>
        </w:rPr>
        <w:t xml:space="preserve"> изпълнение на задачи по информиране и публичност.</w:t>
      </w:r>
    </w:p>
    <w:p w:rsidR="00650A3C" w:rsidRPr="00650A3C" w:rsidRDefault="00650A3C" w:rsidP="00D4246D">
      <w:pPr>
        <w:tabs>
          <w:tab w:val="left" w:pos="6840"/>
        </w:tabs>
        <w:jc w:val="both"/>
        <w:rPr>
          <w:rFonts w:eastAsia="TimesNewRomanPSMT"/>
        </w:rPr>
      </w:pPr>
      <w:r w:rsidRPr="00650A3C">
        <w:rPr>
          <w:rFonts w:eastAsia="TimesNewRomanPSMT"/>
        </w:rPr>
        <w:t xml:space="preserve">От началото на изпълнение на проекта са проведени </w:t>
      </w:r>
      <w:r>
        <w:rPr>
          <w:rFonts w:eastAsia="TimesNewRomanPSMT"/>
        </w:rPr>
        <w:t xml:space="preserve">и приключени </w:t>
      </w:r>
      <w:r w:rsidRPr="00650A3C">
        <w:rPr>
          <w:rFonts w:eastAsia="TimesNewRomanPSMT"/>
        </w:rPr>
        <w:t xml:space="preserve">три открити процедури за възлагане на обществени поръчки за доставка </w:t>
      </w:r>
      <w:r>
        <w:rPr>
          <w:rFonts w:eastAsia="TimesNewRomanPSMT"/>
        </w:rPr>
        <w:t xml:space="preserve">и гаранционна поддръжка </w:t>
      </w:r>
      <w:r w:rsidRPr="00650A3C">
        <w:rPr>
          <w:rFonts w:eastAsia="TimesNewRomanPSMT"/>
        </w:rPr>
        <w:t>на специализирана апаратура; три възлагания на обществени поръчки чрез събиране на оферти с обява за изработване на инвестиционни проекти и упражняване на авторски</w:t>
      </w:r>
      <w:r w:rsidR="000612D9">
        <w:rPr>
          <w:rFonts w:eastAsia="TimesNewRomanPSMT"/>
        </w:rPr>
        <w:t xml:space="preserve"> надзор</w:t>
      </w:r>
      <w:r w:rsidRPr="00650A3C">
        <w:rPr>
          <w:rFonts w:eastAsia="TimesNewRomanPSMT"/>
        </w:rPr>
        <w:t xml:space="preserve">; оценка на съответствието и упражняване на строителен надзор. </w:t>
      </w:r>
      <w:r>
        <w:rPr>
          <w:rFonts w:eastAsia="TimesNewRomanPSMT"/>
        </w:rPr>
        <w:t>Открити са и пет процедури за доставка и гаранционна поддръжка на апаратура</w:t>
      </w:r>
      <w:r w:rsidR="000612D9">
        <w:rPr>
          <w:rFonts w:eastAsia="TimesNewRomanPSMT"/>
        </w:rPr>
        <w:t xml:space="preserve"> </w:t>
      </w:r>
      <w:r>
        <w:rPr>
          <w:rFonts w:eastAsia="TimesNewRomanPSMT"/>
        </w:rPr>
        <w:t xml:space="preserve">и компютърна техника, които са на етап подадаване и разглеждане на оферти. </w:t>
      </w:r>
      <w:r w:rsidR="002C6D33">
        <w:rPr>
          <w:rFonts w:eastAsia="TimesNewRomanPSMT"/>
        </w:rPr>
        <w:t xml:space="preserve">Сключени са </w:t>
      </w:r>
      <w:r w:rsidR="002C6D33" w:rsidRPr="00D4246D">
        <w:rPr>
          <w:rFonts w:eastAsia="TimesNewRomanPSMT"/>
        </w:rPr>
        <w:t xml:space="preserve">общо </w:t>
      </w:r>
      <w:r w:rsidR="0096459D" w:rsidRPr="00D4246D">
        <w:rPr>
          <w:rFonts w:eastAsia="TimesNewRomanPSMT"/>
        </w:rPr>
        <w:t>26</w:t>
      </w:r>
      <w:r w:rsidR="002C6D33" w:rsidRPr="00D4246D">
        <w:rPr>
          <w:rFonts w:eastAsia="TimesNewRomanPSMT"/>
        </w:rPr>
        <w:t xml:space="preserve"> договора</w:t>
      </w:r>
      <w:bookmarkStart w:id="1" w:name="_GoBack"/>
      <w:bookmarkEnd w:id="1"/>
      <w:r w:rsidR="002C6D33">
        <w:rPr>
          <w:rFonts w:eastAsia="TimesNewRomanPSMT"/>
        </w:rPr>
        <w:t xml:space="preserve"> за възлагане на обществени поръчки. </w:t>
      </w:r>
      <w:r>
        <w:rPr>
          <w:rFonts w:eastAsia="TimesNewRomanPSMT"/>
        </w:rPr>
        <w:t xml:space="preserve">Информацията за всички процедури по проекта е публична и е достъпна до профила на купувача на възложителя, на адрес: </w:t>
      </w:r>
      <w:r w:rsidRPr="00650A3C">
        <w:rPr>
          <w:rFonts w:eastAsia="TimesNewRomanPSMT"/>
        </w:rPr>
        <w:t>https://ncipd.org/index.php?option=com_content&amp;view=category&amp;id=99&amp;Itemid=1102&amp;lang=bg</w:t>
      </w:r>
    </w:p>
    <w:p w:rsidR="00921DAB" w:rsidRPr="00985E27" w:rsidRDefault="00921DAB" w:rsidP="00921DAB">
      <w:pPr>
        <w:jc w:val="both"/>
      </w:pPr>
    </w:p>
    <w:p w:rsidR="00745F4D" w:rsidRPr="00EF35FE" w:rsidRDefault="00745F4D" w:rsidP="00EF35FE">
      <w:pPr>
        <w:pStyle w:val="ListParagraph"/>
        <w:numPr>
          <w:ilvl w:val="0"/>
          <w:numId w:val="23"/>
        </w:numPr>
        <w:ind w:right="136"/>
        <w:jc w:val="both"/>
        <w:rPr>
          <w:b/>
        </w:rPr>
      </w:pPr>
      <w:r w:rsidRPr="00EF35FE">
        <w:rPr>
          <w:b/>
        </w:rPr>
        <w:t>Приемане на работата</w:t>
      </w:r>
    </w:p>
    <w:p w:rsidR="00EF35FE" w:rsidRDefault="00EF35FE" w:rsidP="00EF35FE">
      <w:pPr>
        <w:ind w:right="136"/>
        <w:contextualSpacing/>
        <w:jc w:val="both"/>
      </w:pPr>
    </w:p>
    <w:p w:rsidR="00745F4D" w:rsidRPr="00985E27" w:rsidRDefault="00745F4D" w:rsidP="00EF35FE">
      <w:pPr>
        <w:ind w:right="136"/>
        <w:contextualSpacing/>
        <w:jc w:val="both"/>
      </w:pPr>
      <w:r w:rsidRPr="00985E27">
        <w:t>Възложителят ще осъществява контрол относно това дали работата на одитора, съответно  доклад</w:t>
      </w:r>
      <w:r w:rsidR="000612D9">
        <w:t>ите за фактически констатации</w:t>
      </w:r>
      <w:r w:rsidRPr="00985E27">
        <w:t xml:space="preserve"> покриват пълния обем на договорените услуги. За да не се засяга независимостта на одитора при представяне на р</w:t>
      </w:r>
      <w:r w:rsidR="00EF35FE">
        <w:t>езултатите от неговата работа, в</w:t>
      </w:r>
      <w:r w:rsidRPr="00985E27">
        <w:t>ъзложителят не осъществява контрол относно съдържанието на констатациите на одитора и неговата преценка относно ефекта от установените пропуски, отклонения и грешки.</w:t>
      </w:r>
    </w:p>
    <w:p w:rsidR="00745F4D" w:rsidRPr="00985E27" w:rsidRDefault="00745F4D" w:rsidP="00EF35FE">
      <w:pPr>
        <w:ind w:right="136"/>
        <w:contextualSpacing/>
        <w:jc w:val="both"/>
      </w:pPr>
      <w:r w:rsidRPr="00985E27">
        <w:t xml:space="preserve">Приемането на работата </w:t>
      </w:r>
      <w:r w:rsidR="000612D9" w:rsidRPr="00985E27">
        <w:t xml:space="preserve">от извършената одитна проверка </w:t>
      </w:r>
      <w:r w:rsidRPr="00985E27">
        <w:t xml:space="preserve">се осъществява чрез предаване и одобрение на докладите </w:t>
      </w:r>
      <w:r w:rsidR="000612D9">
        <w:t>за фактически констатации</w:t>
      </w:r>
      <w:r w:rsidRPr="00985E27">
        <w:t xml:space="preserve">. Предаването на </w:t>
      </w:r>
      <w:r w:rsidR="000612D9">
        <w:t xml:space="preserve">всеки </w:t>
      </w:r>
      <w:r w:rsidRPr="00985E27">
        <w:t xml:space="preserve">доклад </w:t>
      </w:r>
      <w:r w:rsidR="000612D9">
        <w:t xml:space="preserve">за фактически констатации, </w:t>
      </w:r>
      <w:r w:rsidR="000612D9" w:rsidRPr="000612D9">
        <w:t xml:space="preserve">изготвен </w:t>
      </w:r>
      <w:r w:rsidR="000612D9" w:rsidRPr="00D4246D">
        <w:t xml:space="preserve">в резултат на „Междинна проверка по ангажимента за договорени процедури“ </w:t>
      </w:r>
      <w:r w:rsidRPr="000612D9">
        <w:t xml:space="preserve">се </w:t>
      </w:r>
      <w:r w:rsidRPr="00985E27">
        <w:t xml:space="preserve">извършва с двустранен приемателно-предавателен протокол. В срок от </w:t>
      </w:r>
      <w:r w:rsidR="00F37E4A">
        <w:t>10</w:t>
      </w:r>
      <w:r w:rsidRPr="00985E27">
        <w:t xml:space="preserve"> </w:t>
      </w:r>
      <w:r w:rsidR="00F37E4A">
        <w:rPr>
          <w:lang w:val="en-US"/>
        </w:rPr>
        <w:t>(</w:t>
      </w:r>
      <w:r w:rsidR="00F37E4A">
        <w:t>десет</w:t>
      </w:r>
      <w:r w:rsidR="00F37E4A">
        <w:rPr>
          <w:lang w:val="en-US"/>
        </w:rPr>
        <w:t xml:space="preserve">) </w:t>
      </w:r>
      <w:r w:rsidRPr="00985E27">
        <w:t xml:space="preserve">дни от представянето им </w:t>
      </w:r>
      <w:r w:rsidR="00EF35FE">
        <w:t>в</w:t>
      </w:r>
      <w:r w:rsidRPr="00985E27">
        <w:t xml:space="preserve">ъзложителят е длъжен да одобри представения доклад или да даде указания за тяхната промяна, като тези указания касаят само обема на договорените услуги и </w:t>
      </w:r>
      <w:r w:rsidR="00EF35FE">
        <w:t xml:space="preserve">минималното съдържание на </w:t>
      </w:r>
      <w:r w:rsidRPr="00985E27">
        <w:t xml:space="preserve">доклада. Когато бъдат установени несъответствия на изпълнението с уговореното или бъдат констатирани недостатъци, Възложителят може да откаже приемането на доклада до отстраняването на констатираните отклонения и недостатъци, които се описват в протокол, в който се посочва и подходящ срок за </w:t>
      </w:r>
      <w:r w:rsidR="00EF35FE">
        <w:t>отстраняването им за сметка на и</w:t>
      </w:r>
      <w:r w:rsidRPr="00985E27">
        <w:t>зпълнителя.</w:t>
      </w:r>
    </w:p>
    <w:p w:rsidR="00745F4D" w:rsidRPr="00985E27" w:rsidRDefault="00745F4D" w:rsidP="0000790B">
      <w:pPr>
        <w:ind w:left="360"/>
        <w:jc w:val="both"/>
      </w:pPr>
    </w:p>
    <w:p w:rsidR="006014E0" w:rsidRPr="006014E0" w:rsidRDefault="005C417D" w:rsidP="006014E0">
      <w:pPr>
        <w:tabs>
          <w:tab w:val="left" w:pos="0"/>
        </w:tabs>
        <w:jc w:val="both"/>
        <w:rPr>
          <w:bCs/>
          <w:szCs w:val="20"/>
          <w:lang w:eastAsia="en-US"/>
        </w:rPr>
      </w:pPr>
      <w:r w:rsidRPr="00810E47">
        <w:rPr>
          <w:szCs w:val="20"/>
        </w:rPr>
        <w:t>Окончателн</w:t>
      </w:r>
      <w:r>
        <w:rPr>
          <w:szCs w:val="20"/>
        </w:rPr>
        <w:t>ото приемане на изпълнението с</w:t>
      </w:r>
      <w:r w:rsidRPr="00810E47">
        <w:rPr>
          <w:szCs w:val="20"/>
        </w:rPr>
        <w:t xml:space="preserve">е извършва с подписване на </w:t>
      </w:r>
      <w:r>
        <w:rPr>
          <w:szCs w:val="20"/>
        </w:rPr>
        <w:t xml:space="preserve">двустранен </w:t>
      </w:r>
      <w:r w:rsidRPr="00810E47">
        <w:rPr>
          <w:szCs w:val="20"/>
        </w:rPr>
        <w:t>окончателен Приемо-пред</w:t>
      </w:r>
      <w:r>
        <w:rPr>
          <w:szCs w:val="20"/>
        </w:rPr>
        <w:t>авателен протокол,</w:t>
      </w:r>
      <w:r w:rsidRPr="00810E47">
        <w:rPr>
          <w:szCs w:val="20"/>
        </w:rPr>
        <w:t xml:space="preserve"> в срок до </w:t>
      </w:r>
      <w:r w:rsidR="00F37E4A">
        <w:rPr>
          <w:szCs w:val="20"/>
        </w:rPr>
        <w:t>10</w:t>
      </w:r>
      <w:r>
        <w:rPr>
          <w:szCs w:val="20"/>
        </w:rPr>
        <w:t xml:space="preserve"> </w:t>
      </w:r>
      <w:r w:rsidRPr="0065520F">
        <w:rPr>
          <w:szCs w:val="20"/>
        </w:rPr>
        <w:t>(</w:t>
      </w:r>
      <w:r w:rsidR="00F37E4A">
        <w:rPr>
          <w:szCs w:val="20"/>
        </w:rPr>
        <w:t>десет</w:t>
      </w:r>
      <w:r w:rsidRPr="0065520F">
        <w:rPr>
          <w:szCs w:val="20"/>
        </w:rPr>
        <w:t>)</w:t>
      </w:r>
      <w:r w:rsidRPr="00810E47">
        <w:rPr>
          <w:color w:val="000000"/>
          <w:spacing w:val="1"/>
        </w:rPr>
        <w:t xml:space="preserve"> дни след </w:t>
      </w:r>
      <w:r>
        <w:rPr>
          <w:color w:val="000000"/>
          <w:spacing w:val="1"/>
        </w:rPr>
        <w:t>предаване на  доклад</w:t>
      </w:r>
      <w:r w:rsidR="000612D9" w:rsidRPr="000612D9">
        <w:t xml:space="preserve"> </w:t>
      </w:r>
      <w:r w:rsidR="000612D9">
        <w:t xml:space="preserve">за фактически констатации, </w:t>
      </w:r>
      <w:r w:rsidR="000612D9" w:rsidRPr="000612D9">
        <w:t xml:space="preserve">изготвен </w:t>
      </w:r>
      <w:r w:rsidR="000612D9" w:rsidRPr="00A659F0">
        <w:t>в резултат на „</w:t>
      </w:r>
      <w:r w:rsidR="000612D9">
        <w:t>Окончателна</w:t>
      </w:r>
      <w:r w:rsidR="000612D9" w:rsidRPr="00A659F0">
        <w:t xml:space="preserve"> проверка по ангажимента за договорени процедури“</w:t>
      </w:r>
      <w:r w:rsidRPr="00810E47">
        <w:rPr>
          <w:color w:val="000000"/>
          <w:spacing w:val="1"/>
        </w:rPr>
        <w:t>.</w:t>
      </w:r>
      <w:r w:rsidR="006014E0">
        <w:rPr>
          <w:szCs w:val="20"/>
          <w:lang w:eastAsia="en-US"/>
        </w:rPr>
        <w:t xml:space="preserve"> </w:t>
      </w:r>
      <w:r w:rsidR="006014E0" w:rsidRPr="006014E0">
        <w:rPr>
          <w:szCs w:val="20"/>
          <w:lang w:eastAsia="en-US"/>
        </w:rPr>
        <w:t>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им.</w:t>
      </w:r>
      <w:bookmarkStart w:id="2" w:name="_DV_M67"/>
      <w:bookmarkStart w:id="3" w:name="_DV_M68"/>
      <w:bookmarkStart w:id="4" w:name="_DV_M69"/>
      <w:bookmarkEnd w:id="2"/>
      <w:bookmarkEnd w:id="3"/>
      <w:bookmarkEnd w:id="4"/>
    </w:p>
    <w:p w:rsidR="006014E0" w:rsidRPr="006014E0" w:rsidRDefault="006014E0" w:rsidP="006014E0">
      <w:pPr>
        <w:jc w:val="both"/>
        <w:rPr>
          <w:b/>
          <w:lang w:eastAsia="en-US"/>
        </w:rPr>
      </w:pPr>
      <w:r w:rsidRPr="006014E0">
        <w:rPr>
          <w:b/>
          <w:lang w:eastAsia="en-US"/>
        </w:rPr>
        <w:tab/>
      </w:r>
    </w:p>
    <w:p w:rsidR="00745F4D" w:rsidRPr="00985E27" w:rsidRDefault="00745F4D" w:rsidP="005C417D">
      <w:pPr>
        <w:jc w:val="both"/>
      </w:pPr>
    </w:p>
    <w:p w:rsidR="0000790B" w:rsidRPr="00985E27" w:rsidRDefault="0000790B" w:rsidP="0000790B">
      <w:pPr>
        <w:pStyle w:val="ListParagraph"/>
        <w:jc w:val="both"/>
        <w:rPr>
          <w:b/>
        </w:rPr>
      </w:pPr>
    </w:p>
    <w:p w:rsidR="003B09B2" w:rsidRPr="00985E27" w:rsidRDefault="003B09B2" w:rsidP="003B09B2">
      <w:pPr>
        <w:pStyle w:val="ListParagraph"/>
        <w:ind w:left="1440"/>
        <w:jc w:val="both"/>
        <w:rPr>
          <w:b/>
        </w:rPr>
      </w:pPr>
    </w:p>
    <w:p w:rsidR="0000790B" w:rsidRPr="00985E27" w:rsidRDefault="0000790B" w:rsidP="0000790B">
      <w:pPr>
        <w:jc w:val="both"/>
      </w:pPr>
    </w:p>
    <w:sectPr w:rsidR="0000790B" w:rsidRPr="00985E27" w:rsidSect="006D4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4A" w:rsidRDefault="001B4E4A" w:rsidP="00C5450D">
      <w:r>
        <w:separator/>
      </w:r>
    </w:p>
  </w:endnote>
  <w:endnote w:type="continuationSeparator" w:id="0">
    <w:p w:rsidR="001B4E4A" w:rsidRDefault="001B4E4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16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70" w:rsidRDefault="00CA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6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5520F" w:rsidRDefault="00655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235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70" w:rsidRDefault="00CA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A4170" w:rsidRDefault="00CA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0F" w:rsidRDefault="0065520F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5520F" w:rsidRPr="004031DC" w:rsidRDefault="0065520F" w:rsidP="006D4A19">
    <w:pPr>
      <w:pStyle w:val="Footer"/>
      <w:jc w:val="center"/>
      <w:rPr>
        <w:i/>
        <w:sz w:val="12"/>
        <w:szCs w:val="12"/>
        <w:lang w:val="en-US"/>
      </w:rPr>
    </w:pPr>
  </w:p>
  <w:p w:rsidR="0065520F" w:rsidRPr="009A54D0" w:rsidRDefault="0065520F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20F" w:rsidRDefault="00655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4A" w:rsidRDefault="001B4E4A" w:rsidP="00C5450D">
      <w:r>
        <w:separator/>
      </w:r>
    </w:p>
  </w:footnote>
  <w:footnote w:type="continuationSeparator" w:id="0">
    <w:p w:rsidR="001B4E4A" w:rsidRDefault="001B4E4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0F" w:rsidRDefault="0065520F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5520F" w:rsidRPr="006D4A19" w:rsidRDefault="0065520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0F" w:rsidRDefault="0065520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5520F" w:rsidRDefault="0065520F" w:rsidP="001B5CAD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20F" w:rsidRDefault="0065520F" w:rsidP="001B5CAD">
    <w:pPr>
      <w:pStyle w:val="Header"/>
      <w:pBdr>
        <w:bottom w:val="single" w:sz="6" w:space="14" w:color="auto"/>
      </w:pBdr>
      <w:ind w:firstLine="426"/>
    </w:pPr>
  </w:p>
  <w:p w:rsidR="0065520F" w:rsidRDefault="0065520F" w:rsidP="001B5CAD">
    <w:pPr>
      <w:pStyle w:val="Header"/>
      <w:pBdr>
        <w:bottom w:val="single" w:sz="6" w:space="14" w:color="auto"/>
      </w:pBdr>
      <w:ind w:firstLine="426"/>
    </w:pPr>
  </w:p>
  <w:p w:rsidR="0065520F" w:rsidRDefault="0065520F" w:rsidP="001B5CAD">
    <w:pPr>
      <w:pStyle w:val="Header"/>
      <w:pBdr>
        <w:bottom w:val="single" w:sz="6" w:space="14" w:color="auto"/>
      </w:pBdr>
      <w:ind w:firstLine="426"/>
    </w:pPr>
  </w:p>
  <w:p w:rsidR="0065520F" w:rsidRDefault="0065520F" w:rsidP="001B5CAD">
    <w:pPr>
      <w:pStyle w:val="Header"/>
      <w:pBdr>
        <w:bottom w:val="single" w:sz="6" w:space="14" w:color="auto"/>
      </w:pBdr>
      <w:ind w:firstLine="426"/>
    </w:pPr>
  </w:p>
  <w:p w:rsidR="0065520F" w:rsidRDefault="0065520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5520F" w:rsidRPr="00C5450D" w:rsidRDefault="0065520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0F" w:rsidRDefault="0065520F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</w:pPr>
  </w:p>
  <w:p w:rsidR="0065520F" w:rsidRDefault="0065520F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5520F" w:rsidRPr="006D4A19" w:rsidRDefault="0065520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89"/>
    <w:multiLevelType w:val="hybridMultilevel"/>
    <w:tmpl w:val="61C2C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BC0"/>
    <w:multiLevelType w:val="hybridMultilevel"/>
    <w:tmpl w:val="27C62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7BEE"/>
    <w:multiLevelType w:val="hybridMultilevel"/>
    <w:tmpl w:val="74B49FEE"/>
    <w:lvl w:ilvl="0" w:tplc="1E7CB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4779"/>
    <w:multiLevelType w:val="hybridMultilevel"/>
    <w:tmpl w:val="7FC4E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72B0"/>
    <w:multiLevelType w:val="hybridMultilevel"/>
    <w:tmpl w:val="0EA0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3C0"/>
    <w:multiLevelType w:val="hybridMultilevel"/>
    <w:tmpl w:val="234ED5AE"/>
    <w:lvl w:ilvl="0" w:tplc="0402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8026B"/>
    <w:multiLevelType w:val="multilevel"/>
    <w:tmpl w:val="722C9912"/>
    <w:lvl w:ilvl="0">
      <w:start w:val="1"/>
      <w:numFmt w:val="decimal"/>
      <w:pStyle w:val="DGKVLevel1"/>
      <w:lvlText w:val="%1."/>
      <w:lvlJc w:val="left"/>
      <w:pPr>
        <w:ind w:left="86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GKVLevel2"/>
      <w:lvlText w:val="%1.%2"/>
      <w:lvlJc w:val="left"/>
      <w:pPr>
        <w:ind w:left="1997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DGKVLevel3"/>
      <w:lvlText w:val="141.2.1"/>
      <w:lvlJc w:val="left"/>
      <w:pPr>
        <w:ind w:left="4265" w:hanging="720"/>
      </w:pPr>
      <w:rPr>
        <w:rFonts w:hint="default"/>
        <w:b w:val="0"/>
        <w:i w:val="0"/>
      </w:rPr>
    </w:lvl>
    <w:lvl w:ilvl="3">
      <w:start w:val="1"/>
      <w:numFmt w:val="lowerRoman"/>
      <w:pStyle w:val="DGKVLevel3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4AB1905"/>
    <w:multiLevelType w:val="hybridMultilevel"/>
    <w:tmpl w:val="23607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2F8"/>
    <w:multiLevelType w:val="hybridMultilevel"/>
    <w:tmpl w:val="ADBE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8236A"/>
    <w:multiLevelType w:val="hybridMultilevel"/>
    <w:tmpl w:val="9E2A3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05DF"/>
    <w:multiLevelType w:val="hybridMultilevel"/>
    <w:tmpl w:val="C5FE4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943D7"/>
    <w:multiLevelType w:val="hybridMultilevel"/>
    <w:tmpl w:val="9AB8F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798"/>
    <w:multiLevelType w:val="hybridMultilevel"/>
    <w:tmpl w:val="2408B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22FF"/>
    <w:multiLevelType w:val="hybridMultilevel"/>
    <w:tmpl w:val="86784A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DB2606"/>
    <w:multiLevelType w:val="hybridMultilevel"/>
    <w:tmpl w:val="A384B0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90E6D"/>
    <w:multiLevelType w:val="hybridMultilevel"/>
    <w:tmpl w:val="3B548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6F49"/>
    <w:multiLevelType w:val="hybridMultilevel"/>
    <w:tmpl w:val="04CC673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B0112A"/>
    <w:multiLevelType w:val="hybridMultilevel"/>
    <w:tmpl w:val="4BC4F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E2870"/>
    <w:multiLevelType w:val="hybridMultilevel"/>
    <w:tmpl w:val="6B0044B6"/>
    <w:lvl w:ilvl="0" w:tplc="539032CC">
      <w:start w:val="2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05EF"/>
    <w:multiLevelType w:val="hybridMultilevel"/>
    <w:tmpl w:val="C6F2C828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44472C9D"/>
    <w:multiLevelType w:val="hybridMultilevel"/>
    <w:tmpl w:val="988E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13796"/>
    <w:multiLevelType w:val="hybridMultilevel"/>
    <w:tmpl w:val="E3C82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77C8D"/>
    <w:multiLevelType w:val="hybridMultilevel"/>
    <w:tmpl w:val="001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479B"/>
    <w:multiLevelType w:val="hybridMultilevel"/>
    <w:tmpl w:val="AF04E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48D81BC4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D30B8"/>
    <w:multiLevelType w:val="hybridMultilevel"/>
    <w:tmpl w:val="807EC2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301E0C"/>
    <w:multiLevelType w:val="hybridMultilevel"/>
    <w:tmpl w:val="0404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208"/>
    <w:multiLevelType w:val="hybridMultilevel"/>
    <w:tmpl w:val="26CE1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51853"/>
    <w:multiLevelType w:val="hybridMultilevel"/>
    <w:tmpl w:val="9850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42923"/>
    <w:multiLevelType w:val="hybridMultilevel"/>
    <w:tmpl w:val="9A80C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12265"/>
    <w:multiLevelType w:val="hybridMultilevel"/>
    <w:tmpl w:val="5CC6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F4BC5"/>
    <w:multiLevelType w:val="hybridMultilevel"/>
    <w:tmpl w:val="BF6C2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75AEE"/>
    <w:multiLevelType w:val="hybridMultilevel"/>
    <w:tmpl w:val="67464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A1A5E"/>
    <w:multiLevelType w:val="hybridMultilevel"/>
    <w:tmpl w:val="6EB45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B790A"/>
    <w:multiLevelType w:val="hybridMultilevel"/>
    <w:tmpl w:val="7A92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2E1C"/>
    <w:multiLevelType w:val="hybridMultilevel"/>
    <w:tmpl w:val="C8225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A5B51"/>
    <w:multiLevelType w:val="hybridMultilevel"/>
    <w:tmpl w:val="0C5A3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C383B"/>
    <w:multiLevelType w:val="hybridMultilevel"/>
    <w:tmpl w:val="0284C2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193652"/>
    <w:multiLevelType w:val="hybridMultilevel"/>
    <w:tmpl w:val="3DE4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878AE"/>
    <w:multiLevelType w:val="hybridMultilevel"/>
    <w:tmpl w:val="D78A79E4"/>
    <w:lvl w:ilvl="0" w:tplc="0402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>
    <w:nsid w:val="776E0BD6"/>
    <w:multiLevelType w:val="hybridMultilevel"/>
    <w:tmpl w:val="753844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9032B00"/>
    <w:multiLevelType w:val="hybridMultilevel"/>
    <w:tmpl w:val="C0AAC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E688D"/>
    <w:multiLevelType w:val="hybridMultilevel"/>
    <w:tmpl w:val="6A329BB0"/>
    <w:lvl w:ilvl="0" w:tplc="D52ED9AE">
      <w:start w:val="1"/>
      <w:numFmt w:val="decimal"/>
      <w:lvlText w:val="7.%1."/>
      <w:lvlJc w:val="left"/>
      <w:pPr>
        <w:tabs>
          <w:tab w:val="num" w:pos="1432"/>
        </w:tabs>
        <w:ind w:left="1432" w:hanging="360"/>
      </w:pPr>
      <w:rPr>
        <w:b/>
      </w:rPr>
    </w:lvl>
    <w:lvl w:ilvl="1" w:tplc="95C8B2AC">
      <w:start w:val="1"/>
      <w:numFmt w:val="decimal"/>
      <w:lvlText w:val="4.1.%2."/>
      <w:lvlJc w:val="left"/>
      <w:pPr>
        <w:tabs>
          <w:tab w:val="num" w:pos="1806"/>
        </w:tabs>
        <w:ind w:left="1806" w:hanging="726"/>
      </w:pPr>
      <w:rPr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31861"/>
    <w:multiLevelType w:val="hybridMultilevel"/>
    <w:tmpl w:val="CDC8F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2"/>
  </w:num>
  <w:num w:numId="5">
    <w:abstractNumId w:val="3"/>
  </w:num>
  <w:num w:numId="6">
    <w:abstractNumId w:val="31"/>
  </w:num>
  <w:num w:numId="7">
    <w:abstractNumId w:val="33"/>
  </w:num>
  <w:num w:numId="8">
    <w:abstractNumId w:val="32"/>
  </w:num>
  <w:num w:numId="9">
    <w:abstractNumId w:val="28"/>
  </w:num>
  <w:num w:numId="10">
    <w:abstractNumId w:val="40"/>
  </w:num>
  <w:num w:numId="11">
    <w:abstractNumId w:val="0"/>
  </w:num>
  <w:num w:numId="12">
    <w:abstractNumId w:val="30"/>
  </w:num>
  <w:num w:numId="13">
    <w:abstractNumId w:val="42"/>
  </w:num>
  <w:num w:numId="14">
    <w:abstractNumId w:val="7"/>
  </w:num>
  <w:num w:numId="15">
    <w:abstractNumId w:val="1"/>
  </w:num>
  <w:num w:numId="16">
    <w:abstractNumId w:val="35"/>
  </w:num>
  <w:num w:numId="17">
    <w:abstractNumId w:val="34"/>
  </w:num>
  <w:num w:numId="18">
    <w:abstractNumId w:val="14"/>
  </w:num>
  <w:num w:numId="19">
    <w:abstractNumId w:val="8"/>
  </w:num>
  <w:num w:numId="20">
    <w:abstractNumId w:val="22"/>
  </w:num>
  <w:num w:numId="21">
    <w:abstractNumId w:val="13"/>
  </w:num>
  <w:num w:numId="22">
    <w:abstractNumId w:val="16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9"/>
  </w:num>
  <w:num w:numId="28">
    <w:abstractNumId w:val="23"/>
  </w:num>
  <w:num w:numId="29">
    <w:abstractNumId w:val="38"/>
  </w:num>
  <w:num w:numId="30">
    <w:abstractNumId w:val="18"/>
  </w:num>
  <w:num w:numId="31">
    <w:abstractNumId w:val="29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6"/>
  </w:num>
  <w:num w:numId="36">
    <w:abstractNumId w:val="4"/>
  </w:num>
  <w:num w:numId="37">
    <w:abstractNumId w:val="27"/>
  </w:num>
  <w:num w:numId="38">
    <w:abstractNumId w:val="10"/>
  </w:num>
  <w:num w:numId="39">
    <w:abstractNumId w:val="11"/>
  </w:num>
  <w:num w:numId="40">
    <w:abstractNumId w:val="36"/>
  </w:num>
  <w:num w:numId="41">
    <w:abstractNumId w:val="15"/>
  </w:num>
  <w:num w:numId="42">
    <w:abstractNumId w:val="21"/>
  </w:num>
  <w:num w:numId="43">
    <w:abstractNumId w:val="9"/>
  </w:num>
  <w:num w:numId="4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790B"/>
    <w:rsid w:val="00025710"/>
    <w:rsid w:val="00027BF7"/>
    <w:rsid w:val="000307E5"/>
    <w:rsid w:val="000349D5"/>
    <w:rsid w:val="00035CC0"/>
    <w:rsid w:val="000470DF"/>
    <w:rsid w:val="00047DDE"/>
    <w:rsid w:val="000533BE"/>
    <w:rsid w:val="000612D9"/>
    <w:rsid w:val="00087971"/>
    <w:rsid w:val="0009013E"/>
    <w:rsid w:val="00092D07"/>
    <w:rsid w:val="000964B7"/>
    <w:rsid w:val="000A4EF0"/>
    <w:rsid w:val="000A5F17"/>
    <w:rsid w:val="000B35DF"/>
    <w:rsid w:val="000B7E9B"/>
    <w:rsid w:val="000C6E1D"/>
    <w:rsid w:val="000C70D6"/>
    <w:rsid w:val="000F1A76"/>
    <w:rsid w:val="000F4C27"/>
    <w:rsid w:val="00102EAF"/>
    <w:rsid w:val="00127AB7"/>
    <w:rsid w:val="001318DC"/>
    <w:rsid w:val="001520F2"/>
    <w:rsid w:val="0015306F"/>
    <w:rsid w:val="00154C7F"/>
    <w:rsid w:val="001555A1"/>
    <w:rsid w:val="00155EC0"/>
    <w:rsid w:val="0015730D"/>
    <w:rsid w:val="00167A9C"/>
    <w:rsid w:val="001728DB"/>
    <w:rsid w:val="001A2E97"/>
    <w:rsid w:val="001B4E4A"/>
    <w:rsid w:val="001B5312"/>
    <w:rsid w:val="001B5CAD"/>
    <w:rsid w:val="001D62D4"/>
    <w:rsid w:val="001D7BD7"/>
    <w:rsid w:val="001E0192"/>
    <w:rsid w:val="00231070"/>
    <w:rsid w:val="0023598E"/>
    <w:rsid w:val="002475D8"/>
    <w:rsid w:val="002657AD"/>
    <w:rsid w:val="00270271"/>
    <w:rsid w:val="00270DE3"/>
    <w:rsid w:val="00280743"/>
    <w:rsid w:val="00281C22"/>
    <w:rsid w:val="00282F4E"/>
    <w:rsid w:val="00285A16"/>
    <w:rsid w:val="0028795B"/>
    <w:rsid w:val="002A0782"/>
    <w:rsid w:val="002A0994"/>
    <w:rsid w:val="002C5A74"/>
    <w:rsid w:val="002C6D33"/>
    <w:rsid w:val="002D328C"/>
    <w:rsid w:val="002E5310"/>
    <w:rsid w:val="0030454A"/>
    <w:rsid w:val="003145EA"/>
    <w:rsid w:val="00321582"/>
    <w:rsid w:val="00356EC7"/>
    <w:rsid w:val="00365EE0"/>
    <w:rsid w:val="00370FB2"/>
    <w:rsid w:val="00380D36"/>
    <w:rsid w:val="0039042E"/>
    <w:rsid w:val="00393E44"/>
    <w:rsid w:val="003B09B2"/>
    <w:rsid w:val="003B37D0"/>
    <w:rsid w:val="003C3D23"/>
    <w:rsid w:val="003D2751"/>
    <w:rsid w:val="003D5029"/>
    <w:rsid w:val="003D6C26"/>
    <w:rsid w:val="003D71C8"/>
    <w:rsid w:val="003D7407"/>
    <w:rsid w:val="003E3C9B"/>
    <w:rsid w:val="003F1578"/>
    <w:rsid w:val="003F5E75"/>
    <w:rsid w:val="00400C44"/>
    <w:rsid w:val="004031DC"/>
    <w:rsid w:val="00417A10"/>
    <w:rsid w:val="00435AFC"/>
    <w:rsid w:val="004361A5"/>
    <w:rsid w:val="00447960"/>
    <w:rsid w:val="004944E4"/>
    <w:rsid w:val="004A5300"/>
    <w:rsid w:val="004C575C"/>
    <w:rsid w:val="004C7BF5"/>
    <w:rsid w:val="004C7DB3"/>
    <w:rsid w:val="004D1CB5"/>
    <w:rsid w:val="004D1D82"/>
    <w:rsid w:val="004E09B2"/>
    <w:rsid w:val="004E0C10"/>
    <w:rsid w:val="004F0E93"/>
    <w:rsid w:val="004F628D"/>
    <w:rsid w:val="004F66D6"/>
    <w:rsid w:val="004F7776"/>
    <w:rsid w:val="0050200C"/>
    <w:rsid w:val="0050218F"/>
    <w:rsid w:val="00505FBD"/>
    <w:rsid w:val="005124C2"/>
    <w:rsid w:val="00515539"/>
    <w:rsid w:val="0052333C"/>
    <w:rsid w:val="00532081"/>
    <w:rsid w:val="00536318"/>
    <w:rsid w:val="00536A68"/>
    <w:rsid w:val="005452EB"/>
    <w:rsid w:val="005460A1"/>
    <w:rsid w:val="00546139"/>
    <w:rsid w:val="00571E9E"/>
    <w:rsid w:val="005778E3"/>
    <w:rsid w:val="00590A68"/>
    <w:rsid w:val="005A61A7"/>
    <w:rsid w:val="005B54F2"/>
    <w:rsid w:val="005C417D"/>
    <w:rsid w:val="005C546B"/>
    <w:rsid w:val="005C7ECB"/>
    <w:rsid w:val="005E0DA6"/>
    <w:rsid w:val="005E207B"/>
    <w:rsid w:val="005E32E1"/>
    <w:rsid w:val="005F692E"/>
    <w:rsid w:val="00601463"/>
    <w:rsid w:val="006014E0"/>
    <w:rsid w:val="00606A4D"/>
    <w:rsid w:val="0061226D"/>
    <w:rsid w:val="00613F87"/>
    <w:rsid w:val="006202D4"/>
    <w:rsid w:val="00620DC0"/>
    <w:rsid w:val="006225A4"/>
    <w:rsid w:val="00626E65"/>
    <w:rsid w:val="0064252C"/>
    <w:rsid w:val="00650A3C"/>
    <w:rsid w:val="0065193E"/>
    <w:rsid w:val="0065196B"/>
    <w:rsid w:val="0065520F"/>
    <w:rsid w:val="006677CF"/>
    <w:rsid w:val="006707FC"/>
    <w:rsid w:val="00695767"/>
    <w:rsid w:val="006A22B9"/>
    <w:rsid w:val="006B7C00"/>
    <w:rsid w:val="006D316D"/>
    <w:rsid w:val="006D34A1"/>
    <w:rsid w:val="006D4A19"/>
    <w:rsid w:val="006D79DD"/>
    <w:rsid w:val="006E7115"/>
    <w:rsid w:val="006F0926"/>
    <w:rsid w:val="007021EA"/>
    <w:rsid w:val="007112D9"/>
    <w:rsid w:val="00713782"/>
    <w:rsid w:val="007342D9"/>
    <w:rsid w:val="0074041B"/>
    <w:rsid w:val="00745F4D"/>
    <w:rsid w:val="00752A0C"/>
    <w:rsid w:val="00760ED5"/>
    <w:rsid w:val="00796F51"/>
    <w:rsid w:val="007C4F24"/>
    <w:rsid w:val="007C6AF9"/>
    <w:rsid w:val="007F45D2"/>
    <w:rsid w:val="00802F47"/>
    <w:rsid w:val="008117FD"/>
    <w:rsid w:val="00820DAF"/>
    <w:rsid w:val="008245C0"/>
    <w:rsid w:val="0082708E"/>
    <w:rsid w:val="0083553D"/>
    <w:rsid w:val="008438B0"/>
    <w:rsid w:val="008440B1"/>
    <w:rsid w:val="008542B2"/>
    <w:rsid w:val="008552F5"/>
    <w:rsid w:val="008651F9"/>
    <w:rsid w:val="00866754"/>
    <w:rsid w:val="008711A4"/>
    <w:rsid w:val="00876EF2"/>
    <w:rsid w:val="00880DA3"/>
    <w:rsid w:val="00890EA5"/>
    <w:rsid w:val="00891997"/>
    <w:rsid w:val="008A49C4"/>
    <w:rsid w:val="008B674C"/>
    <w:rsid w:val="008C563E"/>
    <w:rsid w:val="008D4590"/>
    <w:rsid w:val="008F35E4"/>
    <w:rsid w:val="009179FE"/>
    <w:rsid w:val="00921DAB"/>
    <w:rsid w:val="009311D5"/>
    <w:rsid w:val="00946BFA"/>
    <w:rsid w:val="00947ED7"/>
    <w:rsid w:val="00953E05"/>
    <w:rsid w:val="00954B1F"/>
    <w:rsid w:val="00957235"/>
    <w:rsid w:val="009607CD"/>
    <w:rsid w:val="00962A50"/>
    <w:rsid w:val="0096459D"/>
    <w:rsid w:val="009707B1"/>
    <w:rsid w:val="00983B72"/>
    <w:rsid w:val="00985E27"/>
    <w:rsid w:val="0098746D"/>
    <w:rsid w:val="00995C28"/>
    <w:rsid w:val="009A54D0"/>
    <w:rsid w:val="009B2A48"/>
    <w:rsid w:val="009E24D4"/>
    <w:rsid w:val="009F22B9"/>
    <w:rsid w:val="00A00AA1"/>
    <w:rsid w:val="00A132DE"/>
    <w:rsid w:val="00A1665E"/>
    <w:rsid w:val="00A16713"/>
    <w:rsid w:val="00A16AD1"/>
    <w:rsid w:val="00A234C1"/>
    <w:rsid w:val="00A42C5F"/>
    <w:rsid w:val="00A531D0"/>
    <w:rsid w:val="00A955E6"/>
    <w:rsid w:val="00AA25F5"/>
    <w:rsid w:val="00AB5C76"/>
    <w:rsid w:val="00AC47CF"/>
    <w:rsid w:val="00AC51BD"/>
    <w:rsid w:val="00AD1310"/>
    <w:rsid w:val="00AD2EED"/>
    <w:rsid w:val="00AE1C60"/>
    <w:rsid w:val="00AE6DD7"/>
    <w:rsid w:val="00AF76DB"/>
    <w:rsid w:val="00B06B68"/>
    <w:rsid w:val="00B168D5"/>
    <w:rsid w:val="00B345C3"/>
    <w:rsid w:val="00B50E4C"/>
    <w:rsid w:val="00B5721D"/>
    <w:rsid w:val="00B578A7"/>
    <w:rsid w:val="00B66157"/>
    <w:rsid w:val="00B7094B"/>
    <w:rsid w:val="00B76AE5"/>
    <w:rsid w:val="00B77D5B"/>
    <w:rsid w:val="00B9327E"/>
    <w:rsid w:val="00B95625"/>
    <w:rsid w:val="00BA3B9F"/>
    <w:rsid w:val="00BC7B70"/>
    <w:rsid w:val="00BF1361"/>
    <w:rsid w:val="00C03477"/>
    <w:rsid w:val="00C12ECE"/>
    <w:rsid w:val="00C17600"/>
    <w:rsid w:val="00C1770E"/>
    <w:rsid w:val="00C20AA6"/>
    <w:rsid w:val="00C32AE6"/>
    <w:rsid w:val="00C5450D"/>
    <w:rsid w:val="00C610BD"/>
    <w:rsid w:val="00C72C8D"/>
    <w:rsid w:val="00C905C9"/>
    <w:rsid w:val="00C979E5"/>
    <w:rsid w:val="00CA4170"/>
    <w:rsid w:val="00CB3FD1"/>
    <w:rsid w:val="00CB6C48"/>
    <w:rsid w:val="00CC00D6"/>
    <w:rsid w:val="00CC2E7E"/>
    <w:rsid w:val="00CC5D7F"/>
    <w:rsid w:val="00CD30D3"/>
    <w:rsid w:val="00D03E5F"/>
    <w:rsid w:val="00D14BAF"/>
    <w:rsid w:val="00D32606"/>
    <w:rsid w:val="00D35097"/>
    <w:rsid w:val="00D40961"/>
    <w:rsid w:val="00D4246D"/>
    <w:rsid w:val="00D439B3"/>
    <w:rsid w:val="00D476D8"/>
    <w:rsid w:val="00D67366"/>
    <w:rsid w:val="00D73A8E"/>
    <w:rsid w:val="00D93940"/>
    <w:rsid w:val="00DB050E"/>
    <w:rsid w:val="00DB06E2"/>
    <w:rsid w:val="00DB3F7E"/>
    <w:rsid w:val="00DD2DAE"/>
    <w:rsid w:val="00DE1445"/>
    <w:rsid w:val="00DF2D5A"/>
    <w:rsid w:val="00E14B8E"/>
    <w:rsid w:val="00E150B4"/>
    <w:rsid w:val="00E16079"/>
    <w:rsid w:val="00E348B7"/>
    <w:rsid w:val="00E570B0"/>
    <w:rsid w:val="00EB2F4B"/>
    <w:rsid w:val="00EC69CF"/>
    <w:rsid w:val="00EC6A8B"/>
    <w:rsid w:val="00ED07A9"/>
    <w:rsid w:val="00ED3D43"/>
    <w:rsid w:val="00ED3D4E"/>
    <w:rsid w:val="00EE27DB"/>
    <w:rsid w:val="00EE2CEC"/>
    <w:rsid w:val="00EE335F"/>
    <w:rsid w:val="00EF35FE"/>
    <w:rsid w:val="00F0651B"/>
    <w:rsid w:val="00F072F5"/>
    <w:rsid w:val="00F20384"/>
    <w:rsid w:val="00F37E4A"/>
    <w:rsid w:val="00F41CD1"/>
    <w:rsid w:val="00F47BB6"/>
    <w:rsid w:val="00F62BF9"/>
    <w:rsid w:val="00F86DC4"/>
    <w:rsid w:val="00F93730"/>
    <w:rsid w:val="00FA3018"/>
    <w:rsid w:val="00FA5327"/>
    <w:rsid w:val="00FC1660"/>
    <w:rsid w:val="00FC248E"/>
    <w:rsid w:val="00FD1500"/>
    <w:rsid w:val="00FE4DA1"/>
    <w:rsid w:val="00FF24C2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4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4041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41B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4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1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14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145EA"/>
    <w:rPr>
      <w:i/>
      <w:iCs/>
      <w:color w:val="404040"/>
    </w:rPr>
  </w:style>
  <w:style w:type="paragraph" w:styleId="ListParagraph">
    <w:name w:val="List Paragraph"/>
    <w:aliases w:val="List1,List Paragraph1,ПАРАГРАФ,Colorful List Accent 1,Гл точки,Liste 1"/>
    <w:basedOn w:val="Normal"/>
    <w:link w:val="ListParagraphChar"/>
    <w:uiPriority w:val="34"/>
    <w:qFormat/>
    <w:rsid w:val="003145EA"/>
    <w:pPr>
      <w:ind w:left="720"/>
      <w:contextualSpacing/>
    </w:pPr>
  </w:style>
  <w:style w:type="paragraph" w:styleId="NoSpacing">
    <w:name w:val="No Spacing"/>
    <w:uiPriority w:val="1"/>
    <w:qFormat/>
    <w:rsid w:val="003145EA"/>
    <w:rPr>
      <w:sz w:val="24"/>
      <w:szCs w:val="24"/>
    </w:rPr>
  </w:style>
  <w:style w:type="paragraph" w:customStyle="1" w:styleId="1">
    <w:name w:val="Без разредка1"/>
    <w:qFormat/>
    <w:rsid w:val="003145EA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145E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">
    <w:name w:val="Знаци за бележки под линия"/>
    <w:rsid w:val="003145EA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NormalWeb">
    <w:name w:val="Normal (Web)"/>
    <w:basedOn w:val="Normal"/>
    <w:uiPriority w:val="99"/>
    <w:unhideWhenUsed/>
    <w:rsid w:val="003145EA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314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List1 Char,List Paragraph1 Char,ПАРАГРАФ Char,Colorful List Accent 1 Char,Гл точки Char,Liste 1 Char"/>
    <w:link w:val="ListParagraph"/>
    <w:uiPriority w:val="34"/>
    <w:qFormat/>
    <w:locked/>
    <w:rsid w:val="003145EA"/>
    <w:rPr>
      <w:sz w:val="24"/>
      <w:szCs w:val="24"/>
    </w:rPr>
  </w:style>
  <w:style w:type="paragraph" w:customStyle="1" w:styleId="DGKVLevel1">
    <w:name w:val="DGKV Level 1"/>
    <w:basedOn w:val="Heading1"/>
    <w:qFormat/>
    <w:rsid w:val="003145EA"/>
    <w:pPr>
      <w:keepLines w:val="0"/>
      <w:numPr>
        <w:numId w:val="1"/>
      </w:numPr>
      <w:spacing w:before="120" w:after="120"/>
      <w:ind w:left="720" w:hanging="360"/>
      <w:jc w:val="both"/>
    </w:pPr>
    <w:rPr>
      <w:rFonts w:ascii="Calibri" w:hAnsi="Calibri"/>
      <w:b w:val="0"/>
      <w:bCs w:val="0"/>
      <w:color w:val="auto"/>
      <w:sz w:val="22"/>
      <w:szCs w:val="32"/>
      <w:lang w:eastAsia="en-US"/>
    </w:rPr>
  </w:style>
  <w:style w:type="paragraph" w:customStyle="1" w:styleId="DGKVLevel2">
    <w:name w:val="DGKV Level 2"/>
    <w:basedOn w:val="Heading2"/>
    <w:qFormat/>
    <w:rsid w:val="003145EA"/>
    <w:pPr>
      <w:keepNext w:val="0"/>
      <w:keepLines w:val="0"/>
      <w:numPr>
        <w:ilvl w:val="1"/>
        <w:numId w:val="1"/>
      </w:numPr>
      <w:spacing w:before="120" w:after="120"/>
      <w:ind w:left="1440" w:hanging="360"/>
      <w:jc w:val="both"/>
    </w:pPr>
    <w:rPr>
      <w:rFonts w:ascii="Times New Roman" w:hAnsi="Times New Roman"/>
      <w:b w:val="0"/>
      <w:bCs w:val="0"/>
      <w:color w:val="auto"/>
      <w:sz w:val="22"/>
      <w:lang w:val="en-GB" w:eastAsia="en-US"/>
    </w:rPr>
  </w:style>
  <w:style w:type="paragraph" w:customStyle="1" w:styleId="DGKVLevel3">
    <w:name w:val="DGKV Level 3"/>
    <w:basedOn w:val="Heading3"/>
    <w:qFormat/>
    <w:rsid w:val="003145EA"/>
    <w:pPr>
      <w:keepNext w:val="0"/>
      <w:keepLines w:val="0"/>
      <w:numPr>
        <w:ilvl w:val="3"/>
        <w:numId w:val="1"/>
      </w:numPr>
      <w:spacing w:before="120" w:after="120" w:line="300" w:lineRule="atLeast"/>
      <w:ind w:left="2880" w:hanging="360"/>
      <w:jc w:val="both"/>
    </w:pPr>
    <w:rPr>
      <w:rFonts w:ascii="Arial" w:hAnsi="Arial"/>
      <w:b w:val="0"/>
      <w:bCs w:val="0"/>
      <w:color w:val="auto"/>
      <w:sz w:val="20"/>
      <w:lang w:eastAsia="en-US"/>
    </w:rPr>
  </w:style>
  <w:style w:type="character" w:styleId="CommentReference">
    <w:name w:val="annotation reference"/>
    <w:basedOn w:val="DefaultParagraphFont"/>
    <w:rsid w:val="00C17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70E"/>
  </w:style>
  <w:style w:type="paragraph" w:styleId="CommentSubject">
    <w:name w:val="annotation subject"/>
    <w:basedOn w:val="CommentText"/>
    <w:next w:val="CommentText"/>
    <w:link w:val="CommentSubjectChar"/>
    <w:rsid w:val="00C17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4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4041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41B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4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1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14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145EA"/>
    <w:rPr>
      <w:i/>
      <w:iCs/>
      <w:color w:val="404040"/>
    </w:rPr>
  </w:style>
  <w:style w:type="paragraph" w:styleId="ListParagraph">
    <w:name w:val="List Paragraph"/>
    <w:aliases w:val="List1,List Paragraph1,ПАРАГРАФ,Colorful List Accent 1,Гл точки,Liste 1"/>
    <w:basedOn w:val="Normal"/>
    <w:link w:val="ListParagraphChar"/>
    <w:uiPriority w:val="34"/>
    <w:qFormat/>
    <w:rsid w:val="003145EA"/>
    <w:pPr>
      <w:ind w:left="720"/>
      <w:contextualSpacing/>
    </w:pPr>
  </w:style>
  <w:style w:type="paragraph" w:styleId="NoSpacing">
    <w:name w:val="No Spacing"/>
    <w:uiPriority w:val="1"/>
    <w:qFormat/>
    <w:rsid w:val="003145EA"/>
    <w:rPr>
      <w:sz w:val="24"/>
      <w:szCs w:val="24"/>
    </w:rPr>
  </w:style>
  <w:style w:type="paragraph" w:customStyle="1" w:styleId="1">
    <w:name w:val="Без разредка1"/>
    <w:qFormat/>
    <w:rsid w:val="003145EA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145E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">
    <w:name w:val="Знаци за бележки под линия"/>
    <w:rsid w:val="003145EA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NormalWeb">
    <w:name w:val="Normal (Web)"/>
    <w:basedOn w:val="Normal"/>
    <w:uiPriority w:val="99"/>
    <w:unhideWhenUsed/>
    <w:rsid w:val="003145EA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314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List1 Char,List Paragraph1 Char,ПАРАГРАФ Char,Colorful List Accent 1 Char,Гл точки Char,Liste 1 Char"/>
    <w:link w:val="ListParagraph"/>
    <w:uiPriority w:val="34"/>
    <w:qFormat/>
    <w:locked/>
    <w:rsid w:val="003145EA"/>
    <w:rPr>
      <w:sz w:val="24"/>
      <w:szCs w:val="24"/>
    </w:rPr>
  </w:style>
  <w:style w:type="paragraph" w:customStyle="1" w:styleId="DGKVLevel1">
    <w:name w:val="DGKV Level 1"/>
    <w:basedOn w:val="Heading1"/>
    <w:qFormat/>
    <w:rsid w:val="003145EA"/>
    <w:pPr>
      <w:keepLines w:val="0"/>
      <w:numPr>
        <w:numId w:val="1"/>
      </w:numPr>
      <w:spacing w:before="120" w:after="120"/>
      <w:ind w:left="720" w:hanging="360"/>
      <w:jc w:val="both"/>
    </w:pPr>
    <w:rPr>
      <w:rFonts w:ascii="Calibri" w:hAnsi="Calibri"/>
      <w:b w:val="0"/>
      <w:bCs w:val="0"/>
      <w:color w:val="auto"/>
      <w:sz w:val="22"/>
      <w:szCs w:val="32"/>
      <w:lang w:eastAsia="en-US"/>
    </w:rPr>
  </w:style>
  <w:style w:type="paragraph" w:customStyle="1" w:styleId="DGKVLevel2">
    <w:name w:val="DGKV Level 2"/>
    <w:basedOn w:val="Heading2"/>
    <w:qFormat/>
    <w:rsid w:val="003145EA"/>
    <w:pPr>
      <w:keepNext w:val="0"/>
      <w:keepLines w:val="0"/>
      <w:numPr>
        <w:ilvl w:val="1"/>
        <w:numId w:val="1"/>
      </w:numPr>
      <w:spacing w:before="120" w:after="120"/>
      <w:ind w:left="1440" w:hanging="360"/>
      <w:jc w:val="both"/>
    </w:pPr>
    <w:rPr>
      <w:rFonts w:ascii="Times New Roman" w:hAnsi="Times New Roman"/>
      <w:b w:val="0"/>
      <w:bCs w:val="0"/>
      <w:color w:val="auto"/>
      <w:sz w:val="22"/>
      <w:lang w:val="en-GB" w:eastAsia="en-US"/>
    </w:rPr>
  </w:style>
  <w:style w:type="paragraph" w:customStyle="1" w:styleId="DGKVLevel3">
    <w:name w:val="DGKV Level 3"/>
    <w:basedOn w:val="Heading3"/>
    <w:qFormat/>
    <w:rsid w:val="003145EA"/>
    <w:pPr>
      <w:keepNext w:val="0"/>
      <w:keepLines w:val="0"/>
      <w:numPr>
        <w:ilvl w:val="3"/>
        <w:numId w:val="1"/>
      </w:numPr>
      <w:spacing w:before="120" w:after="120" w:line="300" w:lineRule="atLeast"/>
      <w:ind w:left="2880" w:hanging="360"/>
      <w:jc w:val="both"/>
    </w:pPr>
    <w:rPr>
      <w:rFonts w:ascii="Arial" w:hAnsi="Arial"/>
      <w:b w:val="0"/>
      <w:bCs w:val="0"/>
      <w:color w:val="auto"/>
      <w:sz w:val="20"/>
      <w:lang w:eastAsia="en-US"/>
    </w:rPr>
  </w:style>
  <w:style w:type="character" w:styleId="CommentReference">
    <w:name w:val="annotation reference"/>
    <w:basedOn w:val="DefaultParagraphFont"/>
    <w:rsid w:val="00C17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70E"/>
  </w:style>
  <w:style w:type="paragraph" w:styleId="CommentSubject">
    <w:name w:val="annotation subject"/>
    <w:basedOn w:val="CommentText"/>
    <w:next w:val="CommentText"/>
    <w:link w:val="CommentSubjectChar"/>
    <w:rsid w:val="00C17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A950-0B1C-449C-9939-EFC20636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7154</Words>
  <Characters>40783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Tania Giurova</cp:lastModifiedBy>
  <cp:revision>5</cp:revision>
  <dcterms:created xsi:type="dcterms:W3CDTF">2020-06-01T06:51:00Z</dcterms:created>
  <dcterms:modified xsi:type="dcterms:W3CDTF">2020-06-01T07:21:00Z</dcterms:modified>
</cp:coreProperties>
</file>